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59" w:rsidRPr="00F34BFF" w:rsidRDefault="00581859" w:rsidP="00581859">
      <w:pPr>
        <w:jc w:val="center"/>
        <w:rPr>
          <w:b/>
          <w:sz w:val="22"/>
          <w:szCs w:val="22"/>
        </w:rPr>
      </w:pPr>
    </w:p>
    <w:p w:rsidR="00011EE5" w:rsidRDefault="00CB6700" w:rsidP="00011EE5">
      <w:pPr>
        <w:jc w:val="right"/>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6pt;margin-top:0;width:126pt;height:54.5pt;z-index:-251658752" wrapcoords="-100 0 -100 21368 21600 21368 21600 0 -100 0">
            <v:imagedata r:id="rId8" o:title="New Picture (11)"/>
            <w10:wrap type="tight"/>
          </v:shape>
        </w:pict>
      </w:r>
    </w:p>
    <w:p w:rsidR="00011EE5" w:rsidRDefault="00011EE5" w:rsidP="00011EE5">
      <w:pPr>
        <w:jc w:val="right"/>
      </w:pPr>
    </w:p>
    <w:p w:rsidR="00011EE5" w:rsidRDefault="00011EE5" w:rsidP="00011EE5">
      <w:pPr>
        <w:jc w:val="right"/>
      </w:pPr>
    </w:p>
    <w:p w:rsidR="00011EE5" w:rsidRDefault="00011EE5" w:rsidP="00011EE5"/>
    <w:p w:rsidR="00011EE5" w:rsidRDefault="00011EE5" w:rsidP="00011EE5"/>
    <w:p w:rsidR="00011EE5" w:rsidRPr="00663E7B" w:rsidRDefault="00011EE5" w:rsidP="00011EE5">
      <w:pPr>
        <w:jc w:val="center"/>
        <w:rPr>
          <w:b/>
          <w:bCs/>
          <w:sz w:val="23"/>
          <w:szCs w:val="23"/>
        </w:rPr>
      </w:pPr>
    </w:p>
    <w:p w:rsidR="00714D56" w:rsidRDefault="00A4718F" w:rsidP="00714D56">
      <w:pPr>
        <w:jc w:val="center"/>
        <w:rPr>
          <w:b/>
          <w:bCs/>
          <w:sz w:val="23"/>
          <w:szCs w:val="23"/>
        </w:rPr>
      </w:pPr>
      <w:r>
        <w:rPr>
          <w:b/>
          <w:bCs/>
          <w:sz w:val="23"/>
          <w:szCs w:val="23"/>
        </w:rPr>
        <w:t xml:space="preserve">UPDATE REPORT </w:t>
      </w:r>
      <w:r w:rsidR="00714D56">
        <w:rPr>
          <w:b/>
          <w:bCs/>
          <w:sz w:val="23"/>
          <w:szCs w:val="23"/>
        </w:rPr>
        <w:t>IN THE PROGRESS IN IMPLEME</w:t>
      </w:r>
      <w:r w:rsidR="00EA28AE">
        <w:rPr>
          <w:b/>
          <w:bCs/>
          <w:sz w:val="23"/>
          <w:szCs w:val="23"/>
        </w:rPr>
        <w:t>N</w:t>
      </w:r>
      <w:r w:rsidR="00714D56">
        <w:rPr>
          <w:b/>
          <w:bCs/>
          <w:sz w:val="23"/>
          <w:szCs w:val="23"/>
        </w:rPr>
        <w:t xml:space="preserve">TING THE </w:t>
      </w:r>
    </w:p>
    <w:p w:rsidR="00B1021E" w:rsidRDefault="00714D56" w:rsidP="00714D56">
      <w:pPr>
        <w:jc w:val="center"/>
        <w:rPr>
          <w:b/>
          <w:bCs/>
          <w:sz w:val="23"/>
          <w:szCs w:val="23"/>
        </w:rPr>
      </w:pPr>
      <w:r>
        <w:rPr>
          <w:b/>
          <w:bCs/>
          <w:sz w:val="23"/>
          <w:szCs w:val="23"/>
        </w:rPr>
        <w:t>HEALTH AND SOCIAL CARE ACT</w:t>
      </w:r>
    </w:p>
    <w:p w:rsidR="00A4718F" w:rsidRPr="00663E7B" w:rsidRDefault="0067405F" w:rsidP="00011EE5">
      <w:pPr>
        <w:jc w:val="center"/>
        <w:rPr>
          <w:b/>
          <w:bCs/>
          <w:sz w:val="23"/>
          <w:szCs w:val="23"/>
        </w:rPr>
      </w:pPr>
      <w:r>
        <w:rPr>
          <w:b/>
          <w:bCs/>
          <w:sz w:val="23"/>
          <w:szCs w:val="23"/>
        </w:rPr>
        <w:t>(Appendices A and B refer)</w:t>
      </w:r>
    </w:p>
    <w:p w:rsidR="00B1021E" w:rsidRPr="00663E7B" w:rsidRDefault="00B1021E" w:rsidP="00011EE5">
      <w:pPr>
        <w:jc w:val="center"/>
        <w:rPr>
          <w:b/>
          <w:bCs/>
          <w:sz w:val="23"/>
          <w:szCs w:val="23"/>
        </w:rPr>
      </w:pPr>
    </w:p>
    <w:p w:rsidR="00B1021E" w:rsidRDefault="00BD65BD" w:rsidP="00BD65BD">
      <w:pPr>
        <w:jc w:val="both"/>
        <w:rPr>
          <w:b/>
          <w:bCs/>
          <w:sz w:val="23"/>
          <w:szCs w:val="23"/>
        </w:rPr>
      </w:pPr>
      <w:r>
        <w:rPr>
          <w:b/>
          <w:bCs/>
          <w:sz w:val="23"/>
          <w:szCs w:val="23"/>
        </w:rPr>
        <w:t>1</w:t>
      </w:r>
      <w:r>
        <w:rPr>
          <w:b/>
          <w:bCs/>
          <w:sz w:val="23"/>
          <w:szCs w:val="23"/>
        </w:rPr>
        <w:tab/>
      </w:r>
      <w:r w:rsidR="00B1021E" w:rsidRPr="00663E7B">
        <w:rPr>
          <w:b/>
          <w:bCs/>
          <w:sz w:val="23"/>
          <w:szCs w:val="23"/>
        </w:rPr>
        <w:t>Purpose</w:t>
      </w:r>
    </w:p>
    <w:p w:rsidR="00714D56" w:rsidRDefault="00714D56" w:rsidP="00BD65BD">
      <w:pPr>
        <w:jc w:val="both"/>
        <w:rPr>
          <w:b/>
          <w:bCs/>
          <w:sz w:val="23"/>
          <w:szCs w:val="23"/>
        </w:rPr>
      </w:pPr>
    </w:p>
    <w:p w:rsidR="00A4718F" w:rsidRPr="00A4718F" w:rsidRDefault="00714D56" w:rsidP="00BD65BD">
      <w:pPr>
        <w:jc w:val="both"/>
        <w:rPr>
          <w:bCs/>
          <w:sz w:val="23"/>
          <w:szCs w:val="23"/>
        </w:rPr>
      </w:pPr>
      <w:r>
        <w:rPr>
          <w:bCs/>
          <w:sz w:val="23"/>
          <w:szCs w:val="23"/>
        </w:rPr>
        <w:t>The purpose of this report is to update the Board on the implementation of the proposals contained within the Health and Social Care Act.</w:t>
      </w:r>
    </w:p>
    <w:p w:rsidR="00B1021E" w:rsidRPr="00663E7B" w:rsidRDefault="00B1021E" w:rsidP="00BD65BD">
      <w:pPr>
        <w:jc w:val="both"/>
        <w:rPr>
          <w:bCs/>
          <w:sz w:val="23"/>
          <w:szCs w:val="23"/>
        </w:rPr>
      </w:pPr>
    </w:p>
    <w:p w:rsidR="00B1021E" w:rsidRDefault="00BD65BD" w:rsidP="00BD65BD">
      <w:pPr>
        <w:jc w:val="both"/>
        <w:rPr>
          <w:b/>
          <w:bCs/>
          <w:sz w:val="23"/>
          <w:szCs w:val="23"/>
        </w:rPr>
      </w:pPr>
      <w:r>
        <w:rPr>
          <w:b/>
          <w:bCs/>
          <w:sz w:val="23"/>
          <w:szCs w:val="23"/>
        </w:rPr>
        <w:t>2</w:t>
      </w:r>
      <w:r>
        <w:rPr>
          <w:b/>
          <w:bCs/>
          <w:sz w:val="23"/>
          <w:szCs w:val="23"/>
        </w:rPr>
        <w:tab/>
      </w:r>
      <w:r w:rsidR="00B1021E" w:rsidRPr="00663E7B">
        <w:rPr>
          <w:b/>
          <w:bCs/>
          <w:sz w:val="23"/>
          <w:szCs w:val="23"/>
        </w:rPr>
        <w:t>Background</w:t>
      </w:r>
    </w:p>
    <w:p w:rsidR="00714D56" w:rsidRDefault="00714D56" w:rsidP="00BD65BD">
      <w:pPr>
        <w:jc w:val="both"/>
        <w:rPr>
          <w:b/>
          <w:bCs/>
          <w:sz w:val="23"/>
          <w:szCs w:val="23"/>
        </w:rPr>
      </w:pPr>
    </w:p>
    <w:p w:rsidR="00714D56" w:rsidRDefault="00714D56" w:rsidP="00BD65BD">
      <w:pPr>
        <w:jc w:val="both"/>
        <w:rPr>
          <w:bCs/>
          <w:sz w:val="23"/>
          <w:szCs w:val="23"/>
        </w:rPr>
      </w:pPr>
      <w:r>
        <w:rPr>
          <w:bCs/>
          <w:sz w:val="23"/>
          <w:szCs w:val="23"/>
        </w:rPr>
        <w:t xml:space="preserve">The Government has reinforced its commitment to the NHS’s founding principles but has recognised that standing still will not protect the NHS and that modernisation is essential.  The pressures on the NHS are increasing; demand is growing rapidly as the population ages and long term conditions become more common; more sophisticated and expensive treatment options are becoming available.  There is </w:t>
      </w:r>
      <w:proofErr w:type="gramStart"/>
      <w:r>
        <w:rPr>
          <w:bCs/>
          <w:sz w:val="23"/>
          <w:szCs w:val="23"/>
        </w:rPr>
        <w:t>a recognition</w:t>
      </w:r>
      <w:proofErr w:type="gramEnd"/>
      <w:r>
        <w:rPr>
          <w:bCs/>
          <w:sz w:val="23"/>
          <w:szCs w:val="23"/>
        </w:rPr>
        <w:t xml:space="preserve"> that there is a need for improvement and the Hea</w:t>
      </w:r>
      <w:r w:rsidR="00D82627">
        <w:rPr>
          <w:bCs/>
          <w:sz w:val="23"/>
          <w:szCs w:val="23"/>
        </w:rPr>
        <w:t>lth and Social Care Act provides</w:t>
      </w:r>
      <w:r>
        <w:rPr>
          <w:bCs/>
          <w:sz w:val="23"/>
          <w:szCs w:val="23"/>
        </w:rPr>
        <w:t xml:space="preserve"> for a radical re-structuring of the NHS to address these issues.</w:t>
      </w:r>
    </w:p>
    <w:p w:rsidR="00714D56" w:rsidRDefault="00714D56" w:rsidP="00BD65BD">
      <w:pPr>
        <w:jc w:val="both"/>
        <w:rPr>
          <w:bCs/>
          <w:sz w:val="23"/>
          <w:szCs w:val="23"/>
        </w:rPr>
      </w:pPr>
    </w:p>
    <w:p w:rsidR="00714D56" w:rsidRDefault="00714D56" w:rsidP="00BD65BD">
      <w:pPr>
        <w:jc w:val="both"/>
        <w:rPr>
          <w:b/>
          <w:bCs/>
          <w:sz w:val="23"/>
          <w:szCs w:val="23"/>
        </w:rPr>
      </w:pPr>
      <w:r w:rsidRPr="00714D56">
        <w:rPr>
          <w:b/>
          <w:bCs/>
          <w:sz w:val="23"/>
          <w:szCs w:val="23"/>
        </w:rPr>
        <w:t>3</w:t>
      </w:r>
      <w:r w:rsidRPr="00714D56">
        <w:rPr>
          <w:b/>
          <w:bCs/>
          <w:sz w:val="23"/>
          <w:szCs w:val="23"/>
        </w:rPr>
        <w:tab/>
        <w:t>The Health and Social Care Act 2012</w:t>
      </w:r>
    </w:p>
    <w:p w:rsidR="00714D56" w:rsidRDefault="00714D56" w:rsidP="00BD65BD">
      <w:pPr>
        <w:jc w:val="both"/>
        <w:rPr>
          <w:b/>
          <w:bCs/>
          <w:sz w:val="23"/>
          <w:szCs w:val="23"/>
        </w:rPr>
      </w:pPr>
    </w:p>
    <w:p w:rsidR="00714D56" w:rsidRDefault="00714D56" w:rsidP="00BD65BD">
      <w:pPr>
        <w:jc w:val="both"/>
        <w:rPr>
          <w:bCs/>
          <w:sz w:val="23"/>
          <w:szCs w:val="23"/>
        </w:rPr>
      </w:pPr>
      <w:r>
        <w:rPr>
          <w:bCs/>
          <w:sz w:val="23"/>
          <w:szCs w:val="23"/>
        </w:rPr>
        <w:t>The new Act which received Royal Assent on 27 March 2012 is designed to meet these challenges by making the NHS more responsive, efficient and accountable.  The key legislative changes are:</w:t>
      </w:r>
    </w:p>
    <w:p w:rsidR="00714D56" w:rsidRDefault="00714D56" w:rsidP="00BD65BD">
      <w:pPr>
        <w:jc w:val="both"/>
        <w:rPr>
          <w:bCs/>
          <w:sz w:val="23"/>
          <w:szCs w:val="23"/>
        </w:rPr>
      </w:pPr>
    </w:p>
    <w:p w:rsidR="00714D56" w:rsidRDefault="0058196B" w:rsidP="00B046F1">
      <w:pPr>
        <w:numPr>
          <w:ilvl w:val="0"/>
          <w:numId w:val="16"/>
        </w:numPr>
        <w:jc w:val="both"/>
        <w:rPr>
          <w:bCs/>
          <w:sz w:val="23"/>
          <w:szCs w:val="23"/>
        </w:rPr>
      </w:pPr>
      <w:r>
        <w:rPr>
          <w:bCs/>
          <w:sz w:val="23"/>
          <w:szCs w:val="23"/>
        </w:rPr>
        <w:t>Clinically led commissioning</w:t>
      </w:r>
    </w:p>
    <w:p w:rsidR="0058196B" w:rsidRDefault="00B046F1" w:rsidP="00B046F1">
      <w:pPr>
        <w:numPr>
          <w:ilvl w:val="0"/>
          <w:numId w:val="16"/>
        </w:numPr>
        <w:jc w:val="both"/>
        <w:rPr>
          <w:bCs/>
          <w:sz w:val="23"/>
          <w:szCs w:val="23"/>
        </w:rPr>
      </w:pPr>
      <w:r>
        <w:rPr>
          <w:bCs/>
          <w:sz w:val="23"/>
          <w:szCs w:val="23"/>
        </w:rPr>
        <w:t>P</w:t>
      </w:r>
      <w:r w:rsidR="0058196B">
        <w:rPr>
          <w:bCs/>
          <w:sz w:val="23"/>
          <w:szCs w:val="23"/>
        </w:rPr>
        <w:t>rovider</w:t>
      </w:r>
      <w:r>
        <w:rPr>
          <w:bCs/>
          <w:sz w:val="23"/>
          <w:szCs w:val="23"/>
        </w:rPr>
        <w:t xml:space="preserve"> regulation to support innovative services</w:t>
      </w:r>
    </w:p>
    <w:p w:rsidR="00B046F1" w:rsidRDefault="00B046F1" w:rsidP="00B046F1">
      <w:pPr>
        <w:numPr>
          <w:ilvl w:val="0"/>
          <w:numId w:val="16"/>
        </w:numPr>
        <w:jc w:val="both"/>
        <w:rPr>
          <w:bCs/>
          <w:sz w:val="23"/>
          <w:szCs w:val="23"/>
        </w:rPr>
      </w:pPr>
      <w:r>
        <w:rPr>
          <w:bCs/>
          <w:sz w:val="23"/>
          <w:szCs w:val="23"/>
        </w:rPr>
        <w:t>A greater voice for patients</w:t>
      </w:r>
    </w:p>
    <w:p w:rsidR="00B046F1" w:rsidRDefault="00BB1048" w:rsidP="00B046F1">
      <w:pPr>
        <w:numPr>
          <w:ilvl w:val="0"/>
          <w:numId w:val="16"/>
        </w:numPr>
        <w:jc w:val="both"/>
        <w:rPr>
          <w:bCs/>
          <w:sz w:val="23"/>
          <w:szCs w:val="23"/>
        </w:rPr>
      </w:pPr>
      <w:r>
        <w:rPr>
          <w:bCs/>
          <w:sz w:val="23"/>
          <w:szCs w:val="23"/>
        </w:rPr>
        <w:t>A new focus for Public H</w:t>
      </w:r>
      <w:r w:rsidR="00B046F1">
        <w:rPr>
          <w:bCs/>
          <w:sz w:val="23"/>
          <w:szCs w:val="23"/>
        </w:rPr>
        <w:t>ealth</w:t>
      </w:r>
    </w:p>
    <w:p w:rsidR="00B046F1" w:rsidRDefault="00B046F1" w:rsidP="00B046F1">
      <w:pPr>
        <w:numPr>
          <w:ilvl w:val="0"/>
          <w:numId w:val="16"/>
        </w:numPr>
        <w:jc w:val="both"/>
        <w:rPr>
          <w:bCs/>
          <w:sz w:val="23"/>
          <w:szCs w:val="23"/>
        </w:rPr>
      </w:pPr>
      <w:r>
        <w:rPr>
          <w:bCs/>
          <w:sz w:val="23"/>
          <w:szCs w:val="23"/>
        </w:rPr>
        <w:t xml:space="preserve">Greater accountability locally and nationally </w:t>
      </w:r>
    </w:p>
    <w:p w:rsidR="00B046F1" w:rsidRDefault="00B046F1" w:rsidP="00B046F1">
      <w:pPr>
        <w:numPr>
          <w:ilvl w:val="0"/>
          <w:numId w:val="16"/>
        </w:numPr>
        <w:jc w:val="both"/>
        <w:rPr>
          <w:bCs/>
          <w:sz w:val="23"/>
          <w:szCs w:val="23"/>
        </w:rPr>
      </w:pPr>
      <w:r>
        <w:rPr>
          <w:bCs/>
          <w:sz w:val="23"/>
          <w:szCs w:val="23"/>
        </w:rPr>
        <w:t>Streamlined arms-length bodies</w:t>
      </w:r>
    </w:p>
    <w:p w:rsidR="00B046F1" w:rsidRDefault="00B046F1" w:rsidP="00B046F1">
      <w:pPr>
        <w:jc w:val="both"/>
        <w:rPr>
          <w:bCs/>
          <w:sz w:val="23"/>
          <w:szCs w:val="23"/>
        </w:rPr>
      </w:pPr>
    </w:p>
    <w:p w:rsidR="00B046F1" w:rsidRDefault="00D82627" w:rsidP="00B046F1">
      <w:pPr>
        <w:jc w:val="both"/>
        <w:rPr>
          <w:bCs/>
          <w:sz w:val="23"/>
          <w:szCs w:val="23"/>
        </w:rPr>
      </w:pPr>
      <w:r>
        <w:rPr>
          <w:bCs/>
          <w:sz w:val="23"/>
          <w:szCs w:val="23"/>
        </w:rPr>
        <w:t>The Act</w:t>
      </w:r>
      <w:r w:rsidR="00B046F1">
        <w:rPr>
          <w:bCs/>
          <w:sz w:val="23"/>
          <w:szCs w:val="23"/>
        </w:rPr>
        <w:t xml:space="preserve"> which completed its passage </w:t>
      </w:r>
      <w:r>
        <w:rPr>
          <w:bCs/>
          <w:sz w:val="23"/>
          <w:szCs w:val="23"/>
        </w:rPr>
        <w:t>through Parliament in March 2012</w:t>
      </w:r>
      <w:r w:rsidR="00B046F1">
        <w:rPr>
          <w:bCs/>
          <w:sz w:val="23"/>
          <w:szCs w:val="23"/>
        </w:rPr>
        <w:t xml:space="preserve"> provide</w:t>
      </w:r>
      <w:r>
        <w:rPr>
          <w:bCs/>
          <w:sz w:val="23"/>
          <w:szCs w:val="23"/>
        </w:rPr>
        <w:t>s</w:t>
      </w:r>
      <w:r w:rsidR="00BB1048">
        <w:rPr>
          <w:bCs/>
          <w:sz w:val="23"/>
          <w:szCs w:val="23"/>
        </w:rPr>
        <w:t xml:space="preserve"> clarity and certaint</w:t>
      </w:r>
      <w:r w:rsidR="00B046F1">
        <w:rPr>
          <w:bCs/>
          <w:sz w:val="23"/>
          <w:szCs w:val="23"/>
        </w:rPr>
        <w:t>y about future direction after a leng</w:t>
      </w:r>
      <w:r w:rsidR="00BB1048">
        <w:rPr>
          <w:bCs/>
          <w:sz w:val="23"/>
          <w:szCs w:val="23"/>
        </w:rPr>
        <w:t>t</w:t>
      </w:r>
      <w:r w:rsidR="00B046F1">
        <w:rPr>
          <w:bCs/>
          <w:sz w:val="23"/>
          <w:szCs w:val="23"/>
        </w:rPr>
        <w:t>hy and protracted period of uncertainty.  The real momentum now moves t</w:t>
      </w:r>
      <w:r>
        <w:rPr>
          <w:bCs/>
          <w:sz w:val="23"/>
          <w:szCs w:val="23"/>
        </w:rPr>
        <w:t>o</w:t>
      </w:r>
      <w:r w:rsidR="00B046F1">
        <w:rPr>
          <w:bCs/>
          <w:sz w:val="23"/>
          <w:szCs w:val="23"/>
        </w:rPr>
        <w:t xml:space="preserve"> putting the new health and social care system into place by 1 April 20</w:t>
      </w:r>
      <w:r>
        <w:rPr>
          <w:bCs/>
          <w:sz w:val="23"/>
          <w:szCs w:val="23"/>
        </w:rPr>
        <w:t>13</w:t>
      </w:r>
      <w:r w:rsidR="00B046F1">
        <w:rPr>
          <w:bCs/>
          <w:sz w:val="23"/>
          <w:szCs w:val="23"/>
        </w:rPr>
        <w:t xml:space="preserve"> which will deliver these changes on the ground.</w:t>
      </w:r>
    </w:p>
    <w:p w:rsidR="00B046F1" w:rsidRDefault="00B046F1" w:rsidP="00B046F1">
      <w:pPr>
        <w:jc w:val="both"/>
        <w:rPr>
          <w:bCs/>
          <w:sz w:val="23"/>
          <w:szCs w:val="23"/>
        </w:rPr>
      </w:pPr>
    </w:p>
    <w:p w:rsidR="00B046F1" w:rsidRDefault="00B046F1" w:rsidP="00B046F1">
      <w:pPr>
        <w:jc w:val="both"/>
        <w:rPr>
          <w:bCs/>
          <w:sz w:val="23"/>
          <w:szCs w:val="23"/>
        </w:rPr>
      </w:pPr>
      <w:r>
        <w:rPr>
          <w:bCs/>
          <w:sz w:val="23"/>
          <w:szCs w:val="23"/>
        </w:rPr>
        <w:t xml:space="preserve">A copy of how the structure of the NHS Commissioning Framework will </w:t>
      </w:r>
      <w:r w:rsidR="00D82627">
        <w:rPr>
          <w:bCs/>
          <w:sz w:val="23"/>
          <w:szCs w:val="23"/>
        </w:rPr>
        <w:t xml:space="preserve">be </w:t>
      </w:r>
      <w:r>
        <w:rPr>
          <w:bCs/>
          <w:sz w:val="23"/>
          <w:szCs w:val="23"/>
        </w:rPr>
        <w:t>changed is attached at Appendix A.</w:t>
      </w:r>
    </w:p>
    <w:p w:rsidR="00B046F1" w:rsidRDefault="00B046F1" w:rsidP="00B046F1">
      <w:pPr>
        <w:jc w:val="both"/>
        <w:rPr>
          <w:bCs/>
          <w:sz w:val="23"/>
          <w:szCs w:val="23"/>
        </w:rPr>
      </w:pPr>
    </w:p>
    <w:p w:rsidR="00B046F1" w:rsidRDefault="00B046F1" w:rsidP="00B046F1">
      <w:pPr>
        <w:jc w:val="both"/>
        <w:rPr>
          <w:b/>
          <w:bCs/>
          <w:sz w:val="23"/>
          <w:szCs w:val="23"/>
        </w:rPr>
      </w:pPr>
      <w:r w:rsidRPr="00B046F1">
        <w:rPr>
          <w:b/>
          <w:bCs/>
          <w:sz w:val="23"/>
          <w:szCs w:val="23"/>
        </w:rPr>
        <w:t>4</w:t>
      </w:r>
      <w:r w:rsidRPr="00B046F1">
        <w:rPr>
          <w:b/>
          <w:bCs/>
          <w:sz w:val="23"/>
          <w:szCs w:val="23"/>
        </w:rPr>
        <w:tab/>
        <w:t>The new Commissioning System and Structures</w:t>
      </w:r>
    </w:p>
    <w:p w:rsidR="00B046F1" w:rsidRDefault="00B046F1" w:rsidP="00B046F1">
      <w:pPr>
        <w:jc w:val="both"/>
        <w:rPr>
          <w:b/>
          <w:bCs/>
          <w:sz w:val="23"/>
          <w:szCs w:val="23"/>
        </w:rPr>
      </w:pPr>
    </w:p>
    <w:p w:rsidR="00B046F1" w:rsidRDefault="00B046F1" w:rsidP="00B046F1">
      <w:pPr>
        <w:jc w:val="both"/>
        <w:rPr>
          <w:bCs/>
          <w:sz w:val="23"/>
          <w:szCs w:val="23"/>
        </w:rPr>
      </w:pPr>
      <w:r>
        <w:rPr>
          <w:bCs/>
          <w:sz w:val="23"/>
          <w:szCs w:val="23"/>
        </w:rPr>
        <w:t>This report sets out how the new commissioning structures will operate together with a brief description of their role and functions.  Where possible the information has been presented in a context local to Lancas</w:t>
      </w:r>
      <w:r w:rsidR="004E7F68">
        <w:rPr>
          <w:bCs/>
          <w:sz w:val="23"/>
          <w:szCs w:val="23"/>
        </w:rPr>
        <w:t xml:space="preserve">hire.  The proposals in respect </w:t>
      </w:r>
      <w:r w:rsidR="000F4CD8">
        <w:rPr>
          <w:bCs/>
          <w:sz w:val="23"/>
          <w:szCs w:val="23"/>
        </w:rPr>
        <w:t>of the transition of Public Health functions into the local authority are the subject of a separate report on this agenda.</w:t>
      </w:r>
    </w:p>
    <w:p w:rsidR="000F4CD8" w:rsidRDefault="000F4CD8" w:rsidP="00B046F1">
      <w:pPr>
        <w:jc w:val="both"/>
        <w:rPr>
          <w:bCs/>
          <w:sz w:val="23"/>
          <w:szCs w:val="23"/>
        </w:rPr>
      </w:pPr>
    </w:p>
    <w:p w:rsidR="00BB1048" w:rsidRDefault="00BB1048" w:rsidP="00B046F1">
      <w:pPr>
        <w:jc w:val="both"/>
        <w:rPr>
          <w:bCs/>
          <w:sz w:val="23"/>
          <w:szCs w:val="23"/>
        </w:rPr>
      </w:pPr>
    </w:p>
    <w:p w:rsidR="000F4CD8" w:rsidRPr="00BB1048" w:rsidRDefault="000F4CD8" w:rsidP="00BB1048">
      <w:pPr>
        <w:jc w:val="both"/>
        <w:rPr>
          <w:b/>
          <w:bCs/>
          <w:sz w:val="23"/>
          <w:szCs w:val="23"/>
        </w:rPr>
      </w:pPr>
      <w:r w:rsidRPr="00BB1048">
        <w:rPr>
          <w:b/>
          <w:bCs/>
          <w:sz w:val="23"/>
          <w:szCs w:val="23"/>
        </w:rPr>
        <w:lastRenderedPageBreak/>
        <w:t>4.1</w:t>
      </w:r>
      <w:r w:rsidRPr="00BB1048">
        <w:rPr>
          <w:b/>
          <w:bCs/>
          <w:sz w:val="23"/>
          <w:szCs w:val="23"/>
        </w:rPr>
        <w:tab/>
        <w:t>Clinical Commissioning Groups (CCGs)</w:t>
      </w:r>
    </w:p>
    <w:p w:rsidR="000F4CD8" w:rsidRDefault="000F4CD8" w:rsidP="00BB1048">
      <w:pPr>
        <w:jc w:val="both"/>
        <w:rPr>
          <w:bCs/>
          <w:sz w:val="23"/>
          <w:szCs w:val="23"/>
        </w:rPr>
      </w:pPr>
    </w:p>
    <w:p w:rsidR="000F4CD8" w:rsidRDefault="000F4CD8" w:rsidP="00BB1048">
      <w:pPr>
        <w:jc w:val="both"/>
        <w:rPr>
          <w:bCs/>
          <w:sz w:val="23"/>
          <w:szCs w:val="23"/>
        </w:rPr>
      </w:pPr>
      <w:r>
        <w:rPr>
          <w:bCs/>
          <w:sz w:val="23"/>
          <w:szCs w:val="23"/>
        </w:rPr>
        <w:t>Local CCGs will sit at the heart of the new system and will bring GPs and other clinicians together to design and implement better systems of care which are focused on delivering better outcomes responding to the needs and wishes of local patients and reducing health inequalities.</w:t>
      </w:r>
    </w:p>
    <w:p w:rsidR="000F4CD8" w:rsidRDefault="000F4CD8" w:rsidP="00BB1048">
      <w:pPr>
        <w:jc w:val="both"/>
        <w:rPr>
          <w:bCs/>
          <w:sz w:val="23"/>
          <w:szCs w:val="23"/>
        </w:rPr>
      </w:pPr>
    </w:p>
    <w:p w:rsidR="000F4CD8" w:rsidRDefault="000F4CD8" w:rsidP="00BB1048">
      <w:pPr>
        <w:jc w:val="both"/>
        <w:rPr>
          <w:bCs/>
          <w:sz w:val="23"/>
          <w:szCs w:val="23"/>
        </w:rPr>
      </w:pPr>
      <w:r>
        <w:rPr>
          <w:bCs/>
          <w:sz w:val="23"/>
          <w:szCs w:val="23"/>
        </w:rPr>
        <w:t>The vast majority of aspiring CCGs of which there are around 250 in the county have confirmed their member practices and established an effective geographic area.  In Lancashire, there will be eight CCGs, six of which are co-terminous wit</w:t>
      </w:r>
      <w:r w:rsidR="00BB1048">
        <w:rPr>
          <w:bCs/>
          <w:sz w:val="23"/>
          <w:szCs w:val="23"/>
        </w:rPr>
        <w:t>h the Lancashire County Council</w:t>
      </w:r>
      <w:r>
        <w:rPr>
          <w:bCs/>
          <w:sz w:val="23"/>
          <w:szCs w:val="23"/>
        </w:rPr>
        <w:t xml:space="preserve"> footprint and two</w:t>
      </w:r>
      <w:r w:rsidR="00BB1048">
        <w:rPr>
          <w:bCs/>
          <w:sz w:val="23"/>
          <w:szCs w:val="23"/>
        </w:rPr>
        <w:t>,</w:t>
      </w:r>
      <w:r>
        <w:rPr>
          <w:bCs/>
          <w:sz w:val="23"/>
          <w:szCs w:val="23"/>
        </w:rPr>
        <w:t xml:space="preserve"> NHS Blackpool CCG and NHS Blackburn with Darwen CCG</w:t>
      </w:r>
      <w:r w:rsidR="00BB1048">
        <w:rPr>
          <w:bCs/>
          <w:sz w:val="23"/>
          <w:szCs w:val="23"/>
        </w:rPr>
        <w:t>,</w:t>
      </w:r>
      <w:r>
        <w:rPr>
          <w:bCs/>
          <w:sz w:val="23"/>
          <w:szCs w:val="23"/>
        </w:rPr>
        <w:t xml:space="preserve"> which are co-terminous with their respective unitary authorities, progressing through the authorisation process as follows:</w:t>
      </w:r>
    </w:p>
    <w:p w:rsidR="000F4CD8" w:rsidRDefault="000F4CD8" w:rsidP="00BB1048">
      <w:pPr>
        <w:jc w:val="both"/>
        <w:rPr>
          <w:bCs/>
          <w:sz w:val="23"/>
          <w:szCs w:val="23"/>
        </w:rPr>
      </w:pPr>
    </w:p>
    <w:tbl>
      <w:tblPr>
        <w:tblStyle w:val="TableGrid"/>
        <w:tblW w:w="92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652"/>
        <w:gridCol w:w="1814"/>
        <w:gridCol w:w="1814"/>
        <w:gridCol w:w="1942"/>
      </w:tblGrid>
      <w:tr w:rsidR="000F4CD8" w:rsidTr="0059631C">
        <w:tc>
          <w:tcPr>
            <w:tcW w:w="3652" w:type="dxa"/>
          </w:tcPr>
          <w:p w:rsidR="000F4CD8" w:rsidRPr="00F36B02" w:rsidRDefault="000F4CD8" w:rsidP="00B046F1">
            <w:pPr>
              <w:jc w:val="both"/>
              <w:rPr>
                <w:b/>
                <w:bCs/>
                <w:sz w:val="23"/>
                <w:szCs w:val="23"/>
              </w:rPr>
            </w:pPr>
            <w:r w:rsidRPr="00F36B02">
              <w:rPr>
                <w:b/>
                <w:bCs/>
                <w:sz w:val="23"/>
                <w:szCs w:val="23"/>
              </w:rPr>
              <w:t xml:space="preserve"> </w:t>
            </w:r>
          </w:p>
          <w:p w:rsidR="000F4CD8" w:rsidRPr="00F36B02" w:rsidRDefault="000F4CD8" w:rsidP="00B046F1">
            <w:pPr>
              <w:jc w:val="both"/>
              <w:rPr>
                <w:b/>
                <w:bCs/>
                <w:sz w:val="23"/>
                <w:szCs w:val="23"/>
              </w:rPr>
            </w:pPr>
            <w:r w:rsidRPr="00F36B02">
              <w:rPr>
                <w:b/>
                <w:bCs/>
                <w:sz w:val="23"/>
                <w:szCs w:val="23"/>
              </w:rPr>
              <w:t>Name of CCG</w:t>
            </w:r>
          </w:p>
        </w:tc>
        <w:tc>
          <w:tcPr>
            <w:tcW w:w="1814" w:type="dxa"/>
          </w:tcPr>
          <w:p w:rsidR="000F4CD8" w:rsidRPr="00F36B02" w:rsidRDefault="000F4CD8" w:rsidP="000F4CD8">
            <w:pPr>
              <w:jc w:val="center"/>
              <w:rPr>
                <w:b/>
                <w:bCs/>
                <w:sz w:val="23"/>
                <w:szCs w:val="23"/>
              </w:rPr>
            </w:pPr>
          </w:p>
          <w:p w:rsidR="000F4CD8" w:rsidRPr="00F36B02" w:rsidRDefault="000F4CD8" w:rsidP="000F4CD8">
            <w:pPr>
              <w:jc w:val="center"/>
              <w:rPr>
                <w:b/>
                <w:bCs/>
                <w:sz w:val="23"/>
                <w:szCs w:val="23"/>
              </w:rPr>
            </w:pPr>
            <w:r w:rsidRPr="00F36B02">
              <w:rPr>
                <w:b/>
                <w:bCs/>
                <w:sz w:val="23"/>
                <w:szCs w:val="23"/>
              </w:rPr>
              <w:t>Population size</w:t>
            </w:r>
          </w:p>
        </w:tc>
        <w:tc>
          <w:tcPr>
            <w:tcW w:w="1814" w:type="dxa"/>
          </w:tcPr>
          <w:p w:rsidR="000F4CD8" w:rsidRPr="00F36B02" w:rsidRDefault="000F4CD8" w:rsidP="000F4CD8">
            <w:pPr>
              <w:jc w:val="center"/>
              <w:rPr>
                <w:b/>
                <w:bCs/>
                <w:sz w:val="23"/>
                <w:szCs w:val="23"/>
              </w:rPr>
            </w:pPr>
          </w:p>
          <w:p w:rsidR="000F4CD8" w:rsidRPr="00F36B02" w:rsidRDefault="000F4CD8" w:rsidP="000F4CD8">
            <w:pPr>
              <w:jc w:val="center"/>
              <w:rPr>
                <w:b/>
                <w:bCs/>
                <w:sz w:val="23"/>
                <w:szCs w:val="23"/>
              </w:rPr>
            </w:pPr>
            <w:r w:rsidRPr="00F36B02">
              <w:rPr>
                <w:b/>
                <w:bCs/>
                <w:sz w:val="23"/>
                <w:szCs w:val="23"/>
              </w:rPr>
              <w:t>Number of constituent practices</w:t>
            </w:r>
          </w:p>
        </w:tc>
        <w:tc>
          <w:tcPr>
            <w:tcW w:w="1814" w:type="dxa"/>
          </w:tcPr>
          <w:p w:rsidR="000F4CD8" w:rsidRPr="00F36B02" w:rsidRDefault="000F4CD8" w:rsidP="000F4CD8">
            <w:pPr>
              <w:jc w:val="center"/>
              <w:rPr>
                <w:b/>
                <w:bCs/>
                <w:sz w:val="23"/>
                <w:szCs w:val="23"/>
              </w:rPr>
            </w:pPr>
          </w:p>
          <w:p w:rsidR="000F4CD8" w:rsidRPr="00F36B02" w:rsidRDefault="000F4CD8" w:rsidP="000F4CD8">
            <w:pPr>
              <w:jc w:val="center"/>
              <w:rPr>
                <w:b/>
                <w:bCs/>
                <w:sz w:val="23"/>
                <w:szCs w:val="23"/>
              </w:rPr>
            </w:pPr>
            <w:r w:rsidRPr="00F36B02">
              <w:rPr>
                <w:b/>
                <w:bCs/>
                <w:sz w:val="23"/>
                <w:szCs w:val="23"/>
              </w:rPr>
              <w:t>Commissioning budget</w:t>
            </w:r>
          </w:p>
        </w:tc>
      </w:tr>
      <w:tr w:rsidR="000F4CD8" w:rsidTr="0059631C">
        <w:tc>
          <w:tcPr>
            <w:tcW w:w="3652" w:type="dxa"/>
          </w:tcPr>
          <w:p w:rsidR="000F4CD8" w:rsidRDefault="0059631C" w:rsidP="00B046F1">
            <w:pPr>
              <w:jc w:val="both"/>
              <w:rPr>
                <w:bCs/>
                <w:sz w:val="23"/>
                <w:szCs w:val="23"/>
              </w:rPr>
            </w:pPr>
            <w:r>
              <w:rPr>
                <w:bCs/>
                <w:sz w:val="23"/>
                <w:szCs w:val="23"/>
              </w:rPr>
              <w:t xml:space="preserve">NHS Lancashire </w:t>
            </w:r>
            <w:r w:rsidR="000F4CD8">
              <w:rPr>
                <w:bCs/>
                <w:sz w:val="23"/>
                <w:szCs w:val="23"/>
              </w:rPr>
              <w:t>North</w:t>
            </w:r>
          </w:p>
          <w:p w:rsidR="00F36B02" w:rsidRDefault="00F36B02" w:rsidP="00B046F1">
            <w:pPr>
              <w:jc w:val="both"/>
              <w:rPr>
                <w:bCs/>
                <w:sz w:val="23"/>
                <w:szCs w:val="23"/>
              </w:rPr>
            </w:pPr>
          </w:p>
        </w:tc>
        <w:tc>
          <w:tcPr>
            <w:tcW w:w="1814" w:type="dxa"/>
          </w:tcPr>
          <w:p w:rsidR="000F4CD8" w:rsidRDefault="006B0900" w:rsidP="006B0900">
            <w:pPr>
              <w:jc w:val="center"/>
              <w:rPr>
                <w:bCs/>
                <w:sz w:val="23"/>
                <w:szCs w:val="23"/>
              </w:rPr>
            </w:pPr>
            <w:r>
              <w:rPr>
                <w:bCs/>
                <w:sz w:val="23"/>
                <w:szCs w:val="23"/>
              </w:rPr>
              <w:t>158,843</w:t>
            </w:r>
          </w:p>
        </w:tc>
        <w:tc>
          <w:tcPr>
            <w:tcW w:w="1814" w:type="dxa"/>
          </w:tcPr>
          <w:p w:rsidR="000F4CD8" w:rsidRDefault="00397DF6" w:rsidP="006B0900">
            <w:pPr>
              <w:jc w:val="center"/>
              <w:rPr>
                <w:bCs/>
                <w:sz w:val="23"/>
                <w:szCs w:val="23"/>
              </w:rPr>
            </w:pPr>
            <w:r>
              <w:rPr>
                <w:bCs/>
                <w:sz w:val="23"/>
                <w:szCs w:val="23"/>
              </w:rPr>
              <w:t>13</w:t>
            </w:r>
          </w:p>
        </w:tc>
        <w:tc>
          <w:tcPr>
            <w:tcW w:w="1814" w:type="dxa"/>
          </w:tcPr>
          <w:p w:rsidR="000F4CD8" w:rsidRDefault="0059631C" w:rsidP="006B0900">
            <w:pPr>
              <w:jc w:val="center"/>
              <w:rPr>
                <w:bCs/>
                <w:sz w:val="23"/>
                <w:szCs w:val="23"/>
              </w:rPr>
            </w:pPr>
            <w:r>
              <w:rPr>
                <w:bCs/>
                <w:sz w:val="23"/>
                <w:szCs w:val="23"/>
              </w:rPr>
              <w:t>£183m</w:t>
            </w:r>
          </w:p>
        </w:tc>
      </w:tr>
      <w:tr w:rsidR="000F4CD8" w:rsidTr="0059631C">
        <w:tc>
          <w:tcPr>
            <w:tcW w:w="3652" w:type="dxa"/>
          </w:tcPr>
          <w:p w:rsidR="000F4CD8" w:rsidRDefault="000F4CD8" w:rsidP="00B046F1">
            <w:pPr>
              <w:jc w:val="both"/>
              <w:rPr>
                <w:bCs/>
                <w:sz w:val="23"/>
                <w:szCs w:val="23"/>
              </w:rPr>
            </w:pPr>
            <w:r>
              <w:rPr>
                <w:bCs/>
                <w:sz w:val="23"/>
                <w:szCs w:val="23"/>
              </w:rPr>
              <w:t>NHS Fylde and Wyre</w:t>
            </w:r>
          </w:p>
          <w:p w:rsidR="00F36B02" w:rsidRDefault="00F36B02" w:rsidP="00B046F1">
            <w:pPr>
              <w:jc w:val="both"/>
              <w:rPr>
                <w:bCs/>
                <w:sz w:val="23"/>
                <w:szCs w:val="23"/>
              </w:rPr>
            </w:pPr>
          </w:p>
        </w:tc>
        <w:tc>
          <w:tcPr>
            <w:tcW w:w="1814" w:type="dxa"/>
          </w:tcPr>
          <w:p w:rsidR="000F4CD8" w:rsidRDefault="006B0900" w:rsidP="006B0900">
            <w:pPr>
              <w:jc w:val="center"/>
              <w:rPr>
                <w:bCs/>
                <w:sz w:val="23"/>
                <w:szCs w:val="23"/>
              </w:rPr>
            </w:pPr>
            <w:r>
              <w:rPr>
                <w:bCs/>
                <w:sz w:val="23"/>
                <w:szCs w:val="23"/>
              </w:rPr>
              <w:t>151,707</w:t>
            </w:r>
          </w:p>
        </w:tc>
        <w:tc>
          <w:tcPr>
            <w:tcW w:w="1814" w:type="dxa"/>
          </w:tcPr>
          <w:p w:rsidR="000F4CD8" w:rsidRDefault="00397DF6" w:rsidP="006B0900">
            <w:pPr>
              <w:jc w:val="center"/>
              <w:rPr>
                <w:bCs/>
                <w:sz w:val="23"/>
                <w:szCs w:val="23"/>
              </w:rPr>
            </w:pPr>
            <w:r>
              <w:rPr>
                <w:bCs/>
                <w:sz w:val="23"/>
                <w:szCs w:val="23"/>
              </w:rPr>
              <w:t>21</w:t>
            </w:r>
          </w:p>
        </w:tc>
        <w:tc>
          <w:tcPr>
            <w:tcW w:w="1814" w:type="dxa"/>
          </w:tcPr>
          <w:p w:rsidR="000F4CD8" w:rsidRDefault="0059631C" w:rsidP="006B0900">
            <w:pPr>
              <w:jc w:val="center"/>
              <w:rPr>
                <w:bCs/>
                <w:sz w:val="23"/>
                <w:szCs w:val="23"/>
              </w:rPr>
            </w:pPr>
            <w:r>
              <w:rPr>
                <w:bCs/>
                <w:sz w:val="23"/>
                <w:szCs w:val="23"/>
              </w:rPr>
              <w:t>£233m</w:t>
            </w:r>
          </w:p>
        </w:tc>
      </w:tr>
      <w:tr w:rsidR="000F4CD8" w:rsidTr="0059631C">
        <w:tc>
          <w:tcPr>
            <w:tcW w:w="3652" w:type="dxa"/>
          </w:tcPr>
          <w:p w:rsidR="000F4CD8" w:rsidRDefault="000F4CD8" w:rsidP="00B046F1">
            <w:pPr>
              <w:jc w:val="both"/>
              <w:rPr>
                <w:bCs/>
                <w:sz w:val="23"/>
                <w:szCs w:val="23"/>
              </w:rPr>
            </w:pPr>
            <w:r>
              <w:rPr>
                <w:bCs/>
                <w:sz w:val="23"/>
                <w:szCs w:val="23"/>
              </w:rPr>
              <w:t>NHS Blackpool</w:t>
            </w:r>
          </w:p>
          <w:p w:rsidR="00F36B02" w:rsidRDefault="00F36B02" w:rsidP="00B046F1">
            <w:pPr>
              <w:jc w:val="both"/>
              <w:rPr>
                <w:bCs/>
                <w:sz w:val="23"/>
                <w:szCs w:val="23"/>
              </w:rPr>
            </w:pPr>
          </w:p>
        </w:tc>
        <w:tc>
          <w:tcPr>
            <w:tcW w:w="1814" w:type="dxa"/>
          </w:tcPr>
          <w:p w:rsidR="000F4CD8" w:rsidRDefault="006B0900" w:rsidP="006B0900">
            <w:pPr>
              <w:jc w:val="center"/>
              <w:rPr>
                <w:bCs/>
                <w:sz w:val="23"/>
                <w:szCs w:val="23"/>
              </w:rPr>
            </w:pPr>
            <w:r>
              <w:rPr>
                <w:bCs/>
                <w:sz w:val="23"/>
                <w:szCs w:val="23"/>
              </w:rPr>
              <w:t>178,831</w:t>
            </w:r>
          </w:p>
        </w:tc>
        <w:tc>
          <w:tcPr>
            <w:tcW w:w="1814" w:type="dxa"/>
          </w:tcPr>
          <w:p w:rsidR="000F4CD8" w:rsidRDefault="00397DF6" w:rsidP="006B0900">
            <w:pPr>
              <w:jc w:val="center"/>
              <w:rPr>
                <w:bCs/>
                <w:sz w:val="23"/>
                <w:szCs w:val="23"/>
              </w:rPr>
            </w:pPr>
            <w:r>
              <w:rPr>
                <w:bCs/>
                <w:sz w:val="23"/>
                <w:szCs w:val="23"/>
              </w:rPr>
              <w:t>24</w:t>
            </w:r>
          </w:p>
        </w:tc>
        <w:tc>
          <w:tcPr>
            <w:tcW w:w="1814" w:type="dxa"/>
          </w:tcPr>
          <w:p w:rsidR="000F4CD8" w:rsidRDefault="0059631C" w:rsidP="006B0900">
            <w:pPr>
              <w:jc w:val="center"/>
              <w:rPr>
                <w:bCs/>
                <w:sz w:val="23"/>
                <w:szCs w:val="23"/>
              </w:rPr>
            </w:pPr>
            <w:r>
              <w:rPr>
                <w:bCs/>
                <w:sz w:val="23"/>
                <w:szCs w:val="23"/>
              </w:rPr>
              <w:t>£187m</w:t>
            </w:r>
          </w:p>
        </w:tc>
      </w:tr>
      <w:tr w:rsidR="000F4CD8" w:rsidTr="0059631C">
        <w:tc>
          <w:tcPr>
            <w:tcW w:w="3652" w:type="dxa"/>
          </w:tcPr>
          <w:p w:rsidR="000F4CD8" w:rsidRDefault="000F4CD8" w:rsidP="00B046F1">
            <w:pPr>
              <w:jc w:val="both"/>
              <w:rPr>
                <w:bCs/>
                <w:sz w:val="23"/>
                <w:szCs w:val="23"/>
              </w:rPr>
            </w:pPr>
            <w:r>
              <w:rPr>
                <w:bCs/>
                <w:sz w:val="23"/>
                <w:szCs w:val="23"/>
              </w:rPr>
              <w:t>NHS West Lancashire</w:t>
            </w:r>
            <w:r w:rsidR="0059631C">
              <w:rPr>
                <w:bCs/>
                <w:sz w:val="23"/>
                <w:szCs w:val="23"/>
              </w:rPr>
              <w:t xml:space="preserve"> </w:t>
            </w:r>
          </w:p>
          <w:p w:rsidR="00F36B02" w:rsidRDefault="00F36B02" w:rsidP="00B046F1">
            <w:pPr>
              <w:jc w:val="both"/>
              <w:rPr>
                <w:bCs/>
                <w:sz w:val="23"/>
                <w:szCs w:val="23"/>
              </w:rPr>
            </w:pPr>
          </w:p>
        </w:tc>
        <w:tc>
          <w:tcPr>
            <w:tcW w:w="1814" w:type="dxa"/>
          </w:tcPr>
          <w:p w:rsidR="000F4CD8" w:rsidRDefault="006B0900" w:rsidP="006B0900">
            <w:pPr>
              <w:jc w:val="center"/>
              <w:rPr>
                <w:bCs/>
                <w:sz w:val="23"/>
                <w:szCs w:val="23"/>
              </w:rPr>
            </w:pPr>
            <w:r>
              <w:rPr>
                <w:bCs/>
                <w:sz w:val="23"/>
                <w:szCs w:val="23"/>
              </w:rPr>
              <w:t>111,848</w:t>
            </w:r>
          </w:p>
        </w:tc>
        <w:tc>
          <w:tcPr>
            <w:tcW w:w="1814" w:type="dxa"/>
          </w:tcPr>
          <w:p w:rsidR="000F4CD8" w:rsidRDefault="00397DF6" w:rsidP="006B0900">
            <w:pPr>
              <w:jc w:val="center"/>
              <w:rPr>
                <w:bCs/>
                <w:sz w:val="23"/>
                <w:szCs w:val="23"/>
              </w:rPr>
            </w:pPr>
            <w:r>
              <w:rPr>
                <w:bCs/>
                <w:sz w:val="23"/>
                <w:szCs w:val="23"/>
              </w:rPr>
              <w:t>23</w:t>
            </w:r>
          </w:p>
        </w:tc>
        <w:tc>
          <w:tcPr>
            <w:tcW w:w="1814" w:type="dxa"/>
          </w:tcPr>
          <w:p w:rsidR="000F4CD8" w:rsidRDefault="0059631C" w:rsidP="006B0900">
            <w:pPr>
              <w:jc w:val="center"/>
              <w:rPr>
                <w:bCs/>
                <w:sz w:val="23"/>
                <w:szCs w:val="23"/>
              </w:rPr>
            </w:pPr>
            <w:r>
              <w:rPr>
                <w:bCs/>
                <w:sz w:val="23"/>
                <w:szCs w:val="23"/>
              </w:rPr>
              <w:t>£120m</w:t>
            </w:r>
          </w:p>
        </w:tc>
      </w:tr>
      <w:tr w:rsidR="000F4CD8" w:rsidTr="0059631C">
        <w:tc>
          <w:tcPr>
            <w:tcW w:w="3652" w:type="dxa"/>
          </w:tcPr>
          <w:p w:rsidR="000F4CD8" w:rsidRDefault="000F4CD8" w:rsidP="00B046F1">
            <w:pPr>
              <w:jc w:val="both"/>
              <w:rPr>
                <w:bCs/>
                <w:sz w:val="23"/>
                <w:szCs w:val="23"/>
              </w:rPr>
            </w:pPr>
            <w:r>
              <w:rPr>
                <w:bCs/>
                <w:sz w:val="23"/>
                <w:szCs w:val="23"/>
              </w:rPr>
              <w:t>NHS Greater Preston</w:t>
            </w:r>
          </w:p>
          <w:p w:rsidR="00F36B02" w:rsidRDefault="00F36B02" w:rsidP="00B046F1">
            <w:pPr>
              <w:jc w:val="both"/>
              <w:rPr>
                <w:bCs/>
                <w:sz w:val="23"/>
                <w:szCs w:val="23"/>
              </w:rPr>
            </w:pPr>
          </w:p>
        </w:tc>
        <w:tc>
          <w:tcPr>
            <w:tcW w:w="1814" w:type="dxa"/>
          </w:tcPr>
          <w:p w:rsidR="000F4CD8" w:rsidRDefault="006B0900" w:rsidP="006B0900">
            <w:pPr>
              <w:jc w:val="center"/>
              <w:rPr>
                <w:bCs/>
                <w:sz w:val="23"/>
                <w:szCs w:val="23"/>
              </w:rPr>
            </w:pPr>
            <w:r>
              <w:rPr>
                <w:bCs/>
                <w:sz w:val="23"/>
                <w:szCs w:val="23"/>
              </w:rPr>
              <w:t>212,000</w:t>
            </w:r>
          </w:p>
        </w:tc>
        <w:tc>
          <w:tcPr>
            <w:tcW w:w="1814" w:type="dxa"/>
          </w:tcPr>
          <w:p w:rsidR="000F4CD8" w:rsidRDefault="00397DF6" w:rsidP="006B0900">
            <w:pPr>
              <w:jc w:val="center"/>
              <w:rPr>
                <w:bCs/>
                <w:sz w:val="23"/>
                <w:szCs w:val="23"/>
              </w:rPr>
            </w:pPr>
            <w:r>
              <w:rPr>
                <w:bCs/>
                <w:sz w:val="23"/>
                <w:szCs w:val="23"/>
              </w:rPr>
              <w:t>34</w:t>
            </w:r>
          </w:p>
        </w:tc>
        <w:tc>
          <w:tcPr>
            <w:tcW w:w="1814" w:type="dxa"/>
          </w:tcPr>
          <w:p w:rsidR="000F4CD8" w:rsidRDefault="0059631C" w:rsidP="006B0900">
            <w:pPr>
              <w:jc w:val="center"/>
              <w:rPr>
                <w:bCs/>
                <w:sz w:val="23"/>
                <w:szCs w:val="23"/>
              </w:rPr>
            </w:pPr>
            <w:r>
              <w:rPr>
                <w:bCs/>
                <w:sz w:val="23"/>
                <w:szCs w:val="23"/>
              </w:rPr>
              <w:t>£202m</w:t>
            </w:r>
          </w:p>
        </w:tc>
      </w:tr>
      <w:tr w:rsidR="000F4CD8" w:rsidTr="0059631C">
        <w:tc>
          <w:tcPr>
            <w:tcW w:w="3652" w:type="dxa"/>
          </w:tcPr>
          <w:p w:rsidR="000F4CD8" w:rsidRDefault="000F4CD8" w:rsidP="00B046F1">
            <w:pPr>
              <w:jc w:val="both"/>
              <w:rPr>
                <w:bCs/>
                <w:sz w:val="23"/>
                <w:szCs w:val="23"/>
              </w:rPr>
            </w:pPr>
            <w:r>
              <w:rPr>
                <w:bCs/>
                <w:sz w:val="23"/>
                <w:szCs w:val="23"/>
              </w:rPr>
              <w:t>NHS Chorley and South Ribble</w:t>
            </w:r>
          </w:p>
          <w:p w:rsidR="00F36B02" w:rsidRDefault="00F36B02" w:rsidP="00B046F1">
            <w:pPr>
              <w:jc w:val="both"/>
              <w:rPr>
                <w:bCs/>
                <w:sz w:val="23"/>
                <w:szCs w:val="23"/>
              </w:rPr>
            </w:pPr>
          </w:p>
        </w:tc>
        <w:tc>
          <w:tcPr>
            <w:tcW w:w="1814" w:type="dxa"/>
          </w:tcPr>
          <w:p w:rsidR="000F4CD8" w:rsidRDefault="006B0900" w:rsidP="006B0900">
            <w:pPr>
              <w:jc w:val="center"/>
              <w:rPr>
                <w:bCs/>
                <w:sz w:val="23"/>
                <w:szCs w:val="23"/>
              </w:rPr>
            </w:pPr>
            <w:r>
              <w:rPr>
                <w:bCs/>
                <w:sz w:val="23"/>
                <w:szCs w:val="23"/>
              </w:rPr>
              <w:t>170,000</w:t>
            </w:r>
          </w:p>
        </w:tc>
        <w:tc>
          <w:tcPr>
            <w:tcW w:w="1814" w:type="dxa"/>
          </w:tcPr>
          <w:p w:rsidR="000F4CD8" w:rsidRDefault="00397DF6" w:rsidP="006B0900">
            <w:pPr>
              <w:jc w:val="center"/>
              <w:rPr>
                <w:bCs/>
                <w:sz w:val="23"/>
                <w:szCs w:val="23"/>
              </w:rPr>
            </w:pPr>
            <w:r>
              <w:rPr>
                <w:bCs/>
                <w:sz w:val="23"/>
                <w:szCs w:val="23"/>
              </w:rPr>
              <w:t>31</w:t>
            </w:r>
          </w:p>
        </w:tc>
        <w:tc>
          <w:tcPr>
            <w:tcW w:w="1814" w:type="dxa"/>
          </w:tcPr>
          <w:p w:rsidR="000F4CD8" w:rsidRDefault="0059631C" w:rsidP="006B0900">
            <w:pPr>
              <w:jc w:val="center"/>
              <w:rPr>
                <w:bCs/>
                <w:sz w:val="23"/>
                <w:szCs w:val="23"/>
              </w:rPr>
            </w:pPr>
            <w:r>
              <w:rPr>
                <w:bCs/>
                <w:sz w:val="23"/>
                <w:szCs w:val="23"/>
              </w:rPr>
              <w:t>£196m</w:t>
            </w:r>
          </w:p>
        </w:tc>
      </w:tr>
      <w:tr w:rsidR="000F4CD8" w:rsidTr="0059631C">
        <w:tc>
          <w:tcPr>
            <w:tcW w:w="3652" w:type="dxa"/>
          </w:tcPr>
          <w:p w:rsidR="000F4CD8" w:rsidRDefault="000F4CD8" w:rsidP="00B046F1">
            <w:pPr>
              <w:jc w:val="both"/>
              <w:rPr>
                <w:bCs/>
                <w:sz w:val="23"/>
                <w:szCs w:val="23"/>
              </w:rPr>
            </w:pPr>
            <w:r>
              <w:rPr>
                <w:bCs/>
                <w:sz w:val="23"/>
                <w:szCs w:val="23"/>
              </w:rPr>
              <w:t>NHS Blackburn with Darwen</w:t>
            </w:r>
          </w:p>
          <w:p w:rsidR="00F36B02" w:rsidRDefault="00F36B02" w:rsidP="00B046F1">
            <w:pPr>
              <w:jc w:val="both"/>
              <w:rPr>
                <w:bCs/>
                <w:sz w:val="23"/>
                <w:szCs w:val="23"/>
              </w:rPr>
            </w:pPr>
          </w:p>
        </w:tc>
        <w:tc>
          <w:tcPr>
            <w:tcW w:w="1814" w:type="dxa"/>
          </w:tcPr>
          <w:p w:rsidR="000F4CD8" w:rsidRDefault="006B0900" w:rsidP="006B0900">
            <w:pPr>
              <w:jc w:val="center"/>
              <w:rPr>
                <w:bCs/>
                <w:sz w:val="23"/>
                <w:szCs w:val="23"/>
              </w:rPr>
            </w:pPr>
            <w:r>
              <w:rPr>
                <w:bCs/>
                <w:sz w:val="23"/>
                <w:szCs w:val="23"/>
              </w:rPr>
              <w:t>167,000</w:t>
            </w:r>
          </w:p>
        </w:tc>
        <w:tc>
          <w:tcPr>
            <w:tcW w:w="1814" w:type="dxa"/>
          </w:tcPr>
          <w:p w:rsidR="000F4CD8" w:rsidRDefault="00C878EF" w:rsidP="006B0900">
            <w:pPr>
              <w:jc w:val="center"/>
              <w:rPr>
                <w:bCs/>
                <w:sz w:val="23"/>
                <w:szCs w:val="23"/>
              </w:rPr>
            </w:pPr>
            <w:r>
              <w:rPr>
                <w:bCs/>
                <w:sz w:val="23"/>
                <w:szCs w:val="23"/>
              </w:rPr>
              <w:t>29</w:t>
            </w:r>
          </w:p>
        </w:tc>
        <w:tc>
          <w:tcPr>
            <w:tcW w:w="1814" w:type="dxa"/>
          </w:tcPr>
          <w:p w:rsidR="000F4CD8" w:rsidRDefault="0059631C" w:rsidP="006B0900">
            <w:pPr>
              <w:jc w:val="center"/>
              <w:rPr>
                <w:bCs/>
                <w:sz w:val="23"/>
                <w:szCs w:val="23"/>
              </w:rPr>
            </w:pPr>
            <w:r>
              <w:rPr>
                <w:bCs/>
                <w:sz w:val="23"/>
                <w:szCs w:val="23"/>
              </w:rPr>
              <w:t>£262m</w:t>
            </w:r>
          </w:p>
        </w:tc>
      </w:tr>
      <w:tr w:rsidR="000F4CD8" w:rsidTr="0059631C">
        <w:tc>
          <w:tcPr>
            <w:tcW w:w="3652" w:type="dxa"/>
          </w:tcPr>
          <w:p w:rsidR="000F4CD8" w:rsidRDefault="000F4CD8" w:rsidP="00B046F1">
            <w:pPr>
              <w:jc w:val="both"/>
              <w:rPr>
                <w:bCs/>
                <w:sz w:val="23"/>
                <w:szCs w:val="23"/>
              </w:rPr>
            </w:pPr>
            <w:r>
              <w:rPr>
                <w:bCs/>
                <w:sz w:val="23"/>
                <w:szCs w:val="23"/>
              </w:rPr>
              <w:t>NHS East Lancashire</w:t>
            </w:r>
          </w:p>
          <w:p w:rsidR="00F36B02" w:rsidRDefault="00F36B02" w:rsidP="00B046F1">
            <w:pPr>
              <w:jc w:val="both"/>
              <w:rPr>
                <w:bCs/>
                <w:sz w:val="23"/>
                <w:szCs w:val="23"/>
              </w:rPr>
            </w:pPr>
          </w:p>
        </w:tc>
        <w:tc>
          <w:tcPr>
            <w:tcW w:w="1814" w:type="dxa"/>
          </w:tcPr>
          <w:p w:rsidR="00397DF6" w:rsidRDefault="00397DF6" w:rsidP="006B0900">
            <w:pPr>
              <w:jc w:val="center"/>
              <w:rPr>
                <w:bCs/>
                <w:sz w:val="23"/>
                <w:szCs w:val="23"/>
              </w:rPr>
            </w:pPr>
            <w:r>
              <w:rPr>
                <w:bCs/>
                <w:sz w:val="23"/>
                <w:szCs w:val="23"/>
              </w:rPr>
              <w:t>371,073</w:t>
            </w:r>
          </w:p>
          <w:p w:rsidR="000F4CD8" w:rsidRDefault="000F4CD8" w:rsidP="006B0900">
            <w:pPr>
              <w:jc w:val="center"/>
              <w:rPr>
                <w:bCs/>
                <w:sz w:val="23"/>
                <w:szCs w:val="23"/>
              </w:rPr>
            </w:pPr>
          </w:p>
        </w:tc>
        <w:tc>
          <w:tcPr>
            <w:tcW w:w="1814" w:type="dxa"/>
          </w:tcPr>
          <w:p w:rsidR="000F4CD8" w:rsidRDefault="00397DF6" w:rsidP="006B0900">
            <w:pPr>
              <w:jc w:val="center"/>
              <w:rPr>
                <w:bCs/>
                <w:sz w:val="23"/>
                <w:szCs w:val="23"/>
              </w:rPr>
            </w:pPr>
            <w:r>
              <w:rPr>
                <w:bCs/>
                <w:sz w:val="23"/>
                <w:szCs w:val="23"/>
              </w:rPr>
              <w:t>63</w:t>
            </w:r>
          </w:p>
        </w:tc>
        <w:tc>
          <w:tcPr>
            <w:tcW w:w="1814" w:type="dxa"/>
          </w:tcPr>
          <w:p w:rsidR="000F4CD8" w:rsidRDefault="0059631C" w:rsidP="006B0900">
            <w:pPr>
              <w:jc w:val="center"/>
              <w:rPr>
                <w:bCs/>
                <w:sz w:val="23"/>
                <w:szCs w:val="23"/>
              </w:rPr>
            </w:pPr>
            <w:r>
              <w:rPr>
                <w:bCs/>
                <w:sz w:val="23"/>
                <w:szCs w:val="23"/>
              </w:rPr>
              <w:t>£710m</w:t>
            </w:r>
          </w:p>
        </w:tc>
      </w:tr>
    </w:tbl>
    <w:p w:rsidR="000F4CD8" w:rsidRPr="00B046F1" w:rsidRDefault="000F4CD8" w:rsidP="00BB1048">
      <w:pPr>
        <w:jc w:val="both"/>
        <w:rPr>
          <w:bCs/>
          <w:sz w:val="23"/>
          <w:szCs w:val="23"/>
        </w:rPr>
      </w:pPr>
    </w:p>
    <w:p w:rsidR="00011EE5" w:rsidRDefault="00F36B02" w:rsidP="00BB1048">
      <w:pPr>
        <w:jc w:val="both"/>
        <w:rPr>
          <w:bCs/>
          <w:sz w:val="23"/>
          <w:szCs w:val="23"/>
        </w:rPr>
      </w:pPr>
      <w:r>
        <w:rPr>
          <w:bCs/>
          <w:sz w:val="23"/>
          <w:szCs w:val="23"/>
        </w:rPr>
        <w:t>The CCG boundaries are show</w:t>
      </w:r>
      <w:r w:rsidR="008D4B56">
        <w:rPr>
          <w:bCs/>
          <w:sz w:val="23"/>
          <w:szCs w:val="23"/>
        </w:rPr>
        <w:t>n</w:t>
      </w:r>
      <w:r w:rsidR="006E5BF7">
        <w:rPr>
          <w:bCs/>
          <w:sz w:val="23"/>
          <w:szCs w:val="23"/>
        </w:rPr>
        <w:t xml:space="preserve"> on the map at Appendix B</w:t>
      </w:r>
      <w:r>
        <w:rPr>
          <w:bCs/>
          <w:sz w:val="23"/>
          <w:szCs w:val="23"/>
        </w:rPr>
        <w:t>.</w:t>
      </w:r>
    </w:p>
    <w:p w:rsidR="00F36B02" w:rsidRDefault="00F36B02" w:rsidP="00BB1048">
      <w:pPr>
        <w:jc w:val="both"/>
        <w:rPr>
          <w:bCs/>
          <w:sz w:val="23"/>
          <w:szCs w:val="23"/>
        </w:rPr>
      </w:pPr>
    </w:p>
    <w:p w:rsidR="00F36B02" w:rsidRDefault="00F36B02" w:rsidP="00BB1048">
      <w:pPr>
        <w:jc w:val="both"/>
        <w:rPr>
          <w:bCs/>
          <w:sz w:val="23"/>
          <w:szCs w:val="23"/>
        </w:rPr>
      </w:pPr>
      <w:r>
        <w:rPr>
          <w:bCs/>
          <w:sz w:val="23"/>
          <w:szCs w:val="23"/>
        </w:rPr>
        <w:t xml:space="preserve">CCGs will be responsible for commissioning a wide range of services from local acute trust/foundation trust </w:t>
      </w:r>
      <w:r w:rsidR="00FD0C59">
        <w:rPr>
          <w:bCs/>
          <w:sz w:val="23"/>
          <w:szCs w:val="23"/>
        </w:rPr>
        <w:t>providers’</w:t>
      </w:r>
      <w:r>
        <w:rPr>
          <w:bCs/>
          <w:sz w:val="23"/>
          <w:szCs w:val="23"/>
        </w:rPr>
        <w:t xml:space="preserve"> i.e. secondary care, mental health and learning disabilities services and for performance managing the activity levels, quality and patient safety standards and outcomes of those providers.</w:t>
      </w:r>
      <w:r w:rsidR="00477B08">
        <w:rPr>
          <w:bCs/>
          <w:sz w:val="23"/>
          <w:szCs w:val="23"/>
        </w:rPr>
        <w:t xml:space="preserve">  They will work closely with the local authority to integrate health and social care in order to provide services closer to home and to enable patients especially those with long term conditions to remain in their communities.</w:t>
      </w:r>
    </w:p>
    <w:p w:rsidR="00477B08" w:rsidRDefault="00477B08" w:rsidP="00BB1048">
      <w:pPr>
        <w:jc w:val="both"/>
        <w:rPr>
          <w:bCs/>
          <w:sz w:val="23"/>
          <w:szCs w:val="23"/>
        </w:rPr>
      </w:pPr>
    </w:p>
    <w:p w:rsidR="00477B08" w:rsidRDefault="00477B08" w:rsidP="00BB1048">
      <w:pPr>
        <w:jc w:val="both"/>
        <w:rPr>
          <w:bCs/>
          <w:sz w:val="23"/>
          <w:szCs w:val="23"/>
        </w:rPr>
      </w:pPr>
      <w:r>
        <w:rPr>
          <w:bCs/>
          <w:sz w:val="23"/>
          <w:szCs w:val="23"/>
        </w:rPr>
        <w:t>CCGs will not be required to commission either specialist services i.e. tertiary/complex services, primary care services e.g. GPs, Dentists, Pharmacists or services for particular groups such as Offenders, Armed Forces personnel and Veterans.  All of these services which require detailed and specific expertise or which might present conflict of interest to CCGs will be commissioned on a national or regional basis.</w:t>
      </w:r>
    </w:p>
    <w:p w:rsidR="00477B08" w:rsidRDefault="00477B08" w:rsidP="00BB1048">
      <w:pPr>
        <w:jc w:val="both"/>
        <w:rPr>
          <w:bCs/>
          <w:sz w:val="23"/>
          <w:szCs w:val="23"/>
        </w:rPr>
      </w:pPr>
    </w:p>
    <w:p w:rsidR="00477B08" w:rsidRDefault="00477B08" w:rsidP="00BB1048">
      <w:pPr>
        <w:jc w:val="both"/>
        <w:rPr>
          <w:bCs/>
          <w:sz w:val="23"/>
          <w:szCs w:val="23"/>
        </w:rPr>
      </w:pPr>
      <w:r>
        <w:rPr>
          <w:bCs/>
          <w:sz w:val="23"/>
          <w:szCs w:val="23"/>
        </w:rPr>
        <w:t>The</w:t>
      </w:r>
      <w:r w:rsidR="00D82627">
        <w:rPr>
          <w:bCs/>
          <w:sz w:val="23"/>
          <w:szCs w:val="23"/>
        </w:rPr>
        <w:t xml:space="preserve"> eight</w:t>
      </w:r>
      <w:r>
        <w:rPr>
          <w:bCs/>
          <w:sz w:val="23"/>
          <w:szCs w:val="23"/>
        </w:rPr>
        <w:t xml:space="preserve"> emerging CCGs are already operating under delegated authority, increasingly taking on day-to-day commissioning responsibilities on behalf of their local PCTs.  This year all eight were involved in developing and negotiating the annual contract with their l</w:t>
      </w:r>
      <w:r w:rsidR="000F5FC0">
        <w:rPr>
          <w:bCs/>
          <w:sz w:val="23"/>
          <w:szCs w:val="23"/>
        </w:rPr>
        <w:t xml:space="preserve">ocal provider of secondary </w:t>
      </w:r>
      <w:r>
        <w:rPr>
          <w:bCs/>
          <w:sz w:val="23"/>
          <w:szCs w:val="23"/>
        </w:rPr>
        <w:t xml:space="preserve">and </w:t>
      </w:r>
      <w:r w:rsidR="000F5FC0">
        <w:rPr>
          <w:bCs/>
          <w:sz w:val="23"/>
          <w:szCs w:val="23"/>
        </w:rPr>
        <w:t xml:space="preserve">community care and mental health services and </w:t>
      </w:r>
      <w:r>
        <w:rPr>
          <w:bCs/>
          <w:sz w:val="23"/>
          <w:szCs w:val="23"/>
        </w:rPr>
        <w:t xml:space="preserve">they will </w:t>
      </w:r>
      <w:r>
        <w:rPr>
          <w:bCs/>
          <w:sz w:val="23"/>
          <w:szCs w:val="23"/>
        </w:rPr>
        <w:lastRenderedPageBreak/>
        <w:t>progressively move into leading the performance management meetings and the contract negotiations for 2013-14.</w:t>
      </w:r>
    </w:p>
    <w:p w:rsidR="006A42AA" w:rsidRDefault="006A42AA" w:rsidP="00BB1048">
      <w:pPr>
        <w:jc w:val="both"/>
        <w:rPr>
          <w:bCs/>
          <w:sz w:val="23"/>
          <w:szCs w:val="23"/>
        </w:rPr>
      </w:pPr>
    </w:p>
    <w:p w:rsidR="006A42AA" w:rsidRDefault="006A42AA" w:rsidP="00BB1048">
      <w:pPr>
        <w:jc w:val="both"/>
        <w:rPr>
          <w:bCs/>
          <w:sz w:val="23"/>
          <w:szCs w:val="23"/>
        </w:rPr>
      </w:pPr>
      <w:r>
        <w:rPr>
          <w:bCs/>
          <w:sz w:val="23"/>
          <w:szCs w:val="23"/>
        </w:rPr>
        <w:t>In order to become a statutory organisation in their own right and to assume full accountability each CCG has to go through a nationally managed authorisation process between  now and March 2013.  The content of authorisation is built around six domains and has been developed through a wide range of stakeholder involvement including patients, carers, clinicians and partner organisations.</w:t>
      </w:r>
    </w:p>
    <w:p w:rsidR="006A42AA" w:rsidRDefault="006A42AA" w:rsidP="00BB1048">
      <w:pPr>
        <w:jc w:val="both"/>
        <w:rPr>
          <w:bCs/>
          <w:sz w:val="23"/>
          <w:szCs w:val="23"/>
        </w:rPr>
      </w:pPr>
    </w:p>
    <w:p w:rsidR="006A42AA" w:rsidRDefault="006A42AA" w:rsidP="00BB1048">
      <w:pPr>
        <w:jc w:val="both"/>
        <w:rPr>
          <w:bCs/>
          <w:sz w:val="23"/>
          <w:szCs w:val="23"/>
        </w:rPr>
      </w:pPr>
      <w:r>
        <w:rPr>
          <w:bCs/>
          <w:sz w:val="23"/>
          <w:szCs w:val="23"/>
        </w:rPr>
        <w:t>The six domains are:</w:t>
      </w:r>
    </w:p>
    <w:p w:rsidR="006A42AA" w:rsidRDefault="006A42AA" w:rsidP="00BB1048">
      <w:pPr>
        <w:jc w:val="both"/>
        <w:rPr>
          <w:bCs/>
          <w:sz w:val="23"/>
          <w:szCs w:val="23"/>
        </w:rPr>
      </w:pP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619"/>
      </w:tblGrid>
      <w:tr w:rsidR="00BC0092" w:rsidTr="00BB1048">
        <w:tc>
          <w:tcPr>
            <w:tcW w:w="1668" w:type="dxa"/>
          </w:tcPr>
          <w:p w:rsidR="00BC0092" w:rsidRDefault="00BC0092" w:rsidP="00BD65BD">
            <w:pPr>
              <w:jc w:val="both"/>
              <w:rPr>
                <w:bCs/>
                <w:sz w:val="23"/>
                <w:szCs w:val="23"/>
              </w:rPr>
            </w:pPr>
            <w:r>
              <w:rPr>
                <w:bCs/>
                <w:sz w:val="23"/>
                <w:szCs w:val="23"/>
              </w:rPr>
              <w:t>Domain 1:</w:t>
            </w:r>
          </w:p>
        </w:tc>
        <w:tc>
          <w:tcPr>
            <w:tcW w:w="7619" w:type="dxa"/>
          </w:tcPr>
          <w:p w:rsidR="00BC0092" w:rsidRDefault="00BC0092" w:rsidP="00BD65BD">
            <w:pPr>
              <w:jc w:val="both"/>
              <w:rPr>
                <w:bCs/>
                <w:sz w:val="23"/>
                <w:szCs w:val="23"/>
              </w:rPr>
            </w:pPr>
            <w:r>
              <w:rPr>
                <w:bCs/>
                <w:sz w:val="23"/>
                <w:szCs w:val="23"/>
              </w:rPr>
              <w:t>A strong clinical and multi-professional focus which brings real added value</w:t>
            </w:r>
          </w:p>
          <w:p w:rsidR="00BC0092" w:rsidRDefault="00BC0092" w:rsidP="00BD65BD">
            <w:pPr>
              <w:jc w:val="both"/>
              <w:rPr>
                <w:bCs/>
                <w:sz w:val="23"/>
                <w:szCs w:val="23"/>
              </w:rPr>
            </w:pPr>
          </w:p>
        </w:tc>
      </w:tr>
      <w:tr w:rsidR="00BC0092" w:rsidTr="00BB1048">
        <w:tc>
          <w:tcPr>
            <w:tcW w:w="1668" w:type="dxa"/>
          </w:tcPr>
          <w:p w:rsidR="00BC0092" w:rsidRDefault="00BC0092" w:rsidP="00BD65BD">
            <w:pPr>
              <w:jc w:val="both"/>
              <w:rPr>
                <w:bCs/>
                <w:sz w:val="23"/>
                <w:szCs w:val="23"/>
              </w:rPr>
            </w:pPr>
            <w:r>
              <w:rPr>
                <w:bCs/>
                <w:sz w:val="23"/>
                <w:szCs w:val="23"/>
              </w:rPr>
              <w:t>Domain 2:</w:t>
            </w:r>
          </w:p>
        </w:tc>
        <w:tc>
          <w:tcPr>
            <w:tcW w:w="7619" w:type="dxa"/>
          </w:tcPr>
          <w:p w:rsidR="00BC0092" w:rsidRDefault="00BC0092" w:rsidP="00BD65BD">
            <w:pPr>
              <w:jc w:val="both"/>
              <w:rPr>
                <w:bCs/>
                <w:sz w:val="23"/>
                <w:szCs w:val="23"/>
              </w:rPr>
            </w:pPr>
            <w:r>
              <w:rPr>
                <w:bCs/>
                <w:sz w:val="23"/>
                <w:szCs w:val="23"/>
              </w:rPr>
              <w:t>Meaningful engagement with patients, carers and their communities</w:t>
            </w:r>
          </w:p>
          <w:p w:rsidR="00BC0092" w:rsidRDefault="00BC0092" w:rsidP="00BD65BD">
            <w:pPr>
              <w:jc w:val="both"/>
              <w:rPr>
                <w:bCs/>
                <w:sz w:val="23"/>
                <w:szCs w:val="23"/>
              </w:rPr>
            </w:pPr>
          </w:p>
        </w:tc>
      </w:tr>
      <w:tr w:rsidR="00BC0092" w:rsidTr="00BB1048">
        <w:tc>
          <w:tcPr>
            <w:tcW w:w="1668" w:type="dxa"/>
          </w:tcPr>
          <w:p w:rsidR="00BC0092" w:rsidRDefault="00BC0092" w:rsidP="00BD65BD">
            <w:pPr>
              <w:jc w:val="both"/>
              <w:rPr>
                <w:bCs/>
                <w:sz w:val="23"/>
                <w:szCs w:val="23"/>
              </w:rPr>
            </w:pPr>
            <w:r>
              <w:rPr>
                <w:bCs/>
                <w:sz w:val="23"/>
                <w:szCs w:val="23"/>
              </w:rPr>
              <w:t>Domain 3:</w:t>
            </w:r>
          </w:p>
        </w:tc>
        <w:tc>
          <w:tcPr>
            <w:tcW w:w="7619" w:type="dxa"/>
          </w:tcPr>
          <w:p w:rsidR="00BC0092" w:rsidRDefault="00BC0092" w:rsidP="00BD65BD">
            <w:pPr>
              <w:jc w:val="both"/>
              <w:rPr>
                <w:bCs/>
                <w:sz w:val="23"/>
                <w:szCs w:val="23"/>
              </w:rPr>
            </w:pPr>
            <w:r>
              <w:rPr>
                <w:bCs/>
                <w:sz w:val="23"/>
                <w:szCs w:val="23"/>
              </w:rPr>
              <w:t>Clear and credible plans which continue to deliv</w:t>
            </w:r>
            <w:r w:rsidR="00107297">
              <w:rPr>
                <w:bCs/>
                <w:sz w:val="23"/>
                <w:szCs w:val="23"/>
              </w:rPr>
              <w:t>er the QIPP (Quality, Innovation, Productivity &amp; Prevention</w:t>
            </w:r>
            <w:r>
              <w:rPr>
                <w:bCs/>
                <w:sz w:val="23"/>
                <w:szCs w:val="23"/>
              </w:rPr>
              <w:t>) challenge within financial resources</w:t>
            </w:r>
          </w:p>
          <w:p w:rsidR="00BC0092" w:rsidRDefault="00BC0092" w:rsidP="00BD65BD">
            <w:pPr>
              <w:jc w:val="both"/>
              <w:rPr>
                <w:bCs/>
                <w:sz w:val="23"/>
                <w:szCs w:val="23"/>
              </w:rPr>
            </w:pPr>
          </w:p>
        </w:tc>
      </w:tr>
      <w:tr w:rsidR="00BC0092" w:rsidTr="00BB1048">
        <w:tc>
          <w:tcPr>
            <w:tcW w:w="1668" w:type="dxa"/>
          </w:tcPr>
          <w:p w:rsidR="00BC0092" w:rsidRDefault="00BC0092" w:rsidP="00BD65BD">
            <w:pPr>
              <w:jc w:val="both"/>
              <w:rPr>
                <w:bCs/>
                <w:sz w:val="23"/>
                <w:szCs w:val="23"/>
              </w:rPr>
            </w:pPr>
            <w:r>
              <w:rPr>
                <w:bCs/>
                <w:sz w:val="23"/>
                <w:szCs w:val="23"/>
              </w:rPr>
              <w:t>Domain 4:</w:t>
            </w:r>
          </w:p>
        </w:tc>
        <w:tc>
          <w:tcPr>
            <w:tcW w:w="7619" w:type="dxa"/>
          </w:tcPr>
          <w:p w:rsidR="00BC0092" w:rsidRDefault="00BC0092" w:rsidP="00BD65BD">
            <w:pPr>
              <w:jc w:val="both"/>
              <w:rPr>
                <w:bCs/>
                <w:sz w:val="23"/>
                <w:szCs w:val="23"/>
              </w:rPr>
            </w:pPr>
            <w:r>
              <w:rPr>
                <w:bCs/>
                <w:sz w:val="23"/>
                <w:szCs w:val="23"/>
              </w:rPr>
              <w:t>Proper constitutional arrangements with the capacity and capability to deliver all their duties and responsibilities</w:t>
            </w:r>
          </w:p>
          <w:p w:rsidR="00BC0092" w:rsidRDefault="00BC0092" w:rsidP="00BD65BD">
            <w:pPr>
              <w:jc w:val="both"/>
              <w:rPr>
                <w:bCs/>
                <w:sz w:val="23"/>
                <w:szCs w:val="23"/>
              </w:rPr>
            </w:pPr>
          </w:p>
        </w:tc>
      </w:tr>
      <w:tr w:rsidR="00BC0092" w:rsidTr="00BB1048">
        <w:tc>
          <w:tcPr>
            <w:tcW w:w="1668" w:type="dxa"/>
          </w:tcPr>
          <w:p w:rsidR="00BC0092" w:rsidRDefault="00BC0092" w:rsidP="00BD65BD">
            <w:pPr>
              <w:jc w:val="both"/>
              <w:rPr>
                <w:bCs/>
                <w:sz w:val="23"/>
                <w:szCs w:val="23"/>
              </w:rPr>
            </w:pPr>
            <w:r>
              <w:rPr>
                <w:bCs/>
                <w:sz w:val="23"/>
                <w:szCs w:val="23"/>
              </w:rPr>
              <w:t>Domain 5:</w:t>
            </w:r>
          </w:p>
        </w:tc>
        <w:tc>
          <w:tcPr>
            <w:tcW w:w="7619" w:type="dxa"/>
          </w:tcPr>
          <w:p w:rsidR="00BC0092" w:rsidRDefault="00BC0092" w:rsidP="00BD65BD">
            <w:pPr>
              <w:jc w:val="both"/>
              <w:rPr>
                <w:bCs/>
                <w:sz w:val="23"/>
                <w:szCs w:val="23"/>
              </w:rPr>
            </w:pPr>
            <w:r>
              <w:rPr>
                <w:bCs/>
                <w:sz w:val="23"/>
                <w:szCs w:val="23"/>
              </w:rPr>
              <w:t>Collaborative arrangements for commissioning with other CCGs, local authorities and the NHS National Commissioning Board as well as appropriate commissioning support</w:t>
            </w:r>
          </w:p>
          <w:p w:rsidR="00BC0092" w:rsidRDefault="00BC0092" w:rsidP="00BD65BD">
            <w:pPr>
              <w:jc w:val="both"/>
              <w:rPr>
                <w:bCs/>
                <w:sz w:val="23"/>
                <w:szCs w:val="23"/>
              </w:rPr>
            </w:pPr>
          </w:p>
        </w:tc>
      </w:tr>
      <w:tr w:rsidR="00BC0092" w:rsidTr="00BB1048">
        <w:tc>
          <w:tcPr>
            <w:tcW w:w="1668" w:type="dxa"/>
          </w:tcPr>
          <w:p w:rsidR="00BC0092" w:rsidRDefault="00BC0092" w:rsidP="00BD65BD">
            <w:pPr>
              <w:jc w:val="both"/>
              <w:rPr>
                <w:bCs/>
                <w:sz w:val="23"/>
                <w:szCs w:val="23"/>
              </w:rPr>
            </w:pPr>
            <w:r>
              <w:rPr>
                <w:bCs/>
                <w:sz w:val="23"/>
                <w:szCs w:val="23"/>
              </w:rPr>
              <w:t>Domain</w:t>
            </w:r>
            <w:r w:rsidR="00353698">
              <w:rPr>
                <w:bCs/>
                <w:sz w:val="23"/>
                <w:szCs w:val="23"/>
              </w:rPr>
              <w:t xml:space="preserve"> </w:t>
            </w:r>
            <w:r>
              <w:rPr>
                <w:bCs/>
                <w:sz w:val="23"/>
                <w:szCs w:val="23"/>
              </w:rPr>
              <w:t>6:</w:t>
            </w:r>
          </w:p>
        </w:tc>
        <w:tc>
          <w:tcPr>
            <w:tcW w:w="7619" w:type="dxa"/>
          </w:tcPr>
          <w:p w:rsidR="00BC0092" w:rsidRPr="00107297" w:rsidRDefault="00BC0092" w:rsidP="00BD65BD">
            <w:pPr>
              <w:jc w:val="both"/>
              <w:rPr>
                <w:bCs/>
                <w:sz w:val="23"/>
                <w:szCs w:val="23"/>
              </w:rPr>
            </w:pPr>
            <w:r w:rsidRPr="00107297">
              <w:rPr>
                <w:bCs/>
                <w:sz w:val="23"/>
                <w:szCs w:val="23"/>
              </w:rPr>
              <w:t>Great leaders who individually and collectively make a difference</w:t>
            </w:r>
          </w:p>
          <w:p w:rsidR="00BC0092" w:rsidRDefault="00BC0092" w:rsidP="00BD65BD">
            <w:pPr>
              <w:jc w:val="both"/>
              <w:rPr>
                <w:bCs/>
                <w:sz w:val="23"/>
                <w:szCs w:val="23"/>
              </w:rPr>
            </w:pPr>
          </w:p>
        </w:tc>
      </w:tr>
    </w:tbl>
    <w:p w:rsidR="006A42AA" w:rsidRDefault="006A42AA" w:rsidP="00BB1048">
      <w:pPr>
        <w:jc w:val="both"/>
        <w:rPr>
          <w:bCs/>
          <w:sz w:val="23"/>
          <w:szCs w:val="23"/>
        </w:rPr>
      </w:pPr>
    </w:p>
    <w:p w:rsidR="00DF7A50" w:rsidRDefault="00DF7A50" w:rsidP="00BB1048">
      <w:pPr>
        <w:jc w:val="both"/>
        <w:rPr>
          <w:bCs/>
          <w:sz w:val="23"/>
          <w:szCs w:val="23"/>
        </w:rPr>
      </w:pPr>
      <w:r>
        <w:rPr>
          <w:bCs/>
          <w:sz w:val="23"/>
          <w:szCs w:val="23"/>
        </w:rPr>
        <w:t>The thresholds within each domain have been set to ensure CCGs have autonomy to innovate in how they deliver improved outcomes and at the same time are safe as statutory bodies responsible for commissioning health services.  The criteria in relation to risk on quality, safety and financial management and related governance, planning and capacity and capability therefore have relatively high thresholds.</w:t>
      </w:r>
    </w:p>
    <w:p w:rsidR="00DF7A50" w:rsidRDefault="00DF7A50" w:rsidP="00BB1048">
      <w:pPr>
        <w:jc w:val="both"/>
        <w:rPr>
          <w:bCs/>
          <w:sz w:val="23"/>
          <w:szCs w:val="23"/>
        </w:rPr>
      </w:pPr>
    </w:p>
    <w:p w:rsidR="00DF7A50" w:rsidRDefault="00DF7A50" w:rsidP="00BB1048">
      <w:pPr>
        <w:jc w:val="both"/>
        <w:rPr>
          <w:bCs/>
          <w:sz w:val="23"/>
          <w:szCs w:val="23"/>
        </w:rPr>
      </w:pPr>
      <w:r>
        <w:rPr>
          <w:bCs/>
          <w:sz w:val="23"/>
          <w:szCs w:val="23"/>
        </w:rPr>
        <w:t>The authorisation process is divided into three stages:</w:t>
      </w:r>
    </w:p>
    <w:p w:rsidR="00D82627" w:rsidRDefault="00D82627" w:rsidP="00BB1048">
      <w:pPr>
        <w:jc w:val="both"/>
        <w:rPr>
          <w:bCs/>
          <w:sz w:val="23"/>
          <w:szCs w:val="23"/>
        </w:rPr>
      </w:pPr>
    </w:p>
    <w:p w:rsidR="00D82627" w:rsidRDefault="00D82627" w:rsidP="00BB1048">
      <w:pPr>
        <w:numPr>
          <w:ilvl w:val="0"/>
          <w:numId w:val="18"/>
        </w:numPr>
        <w:jc w:val="both"/>
        <w:rPr>
          <w:bCs/>
          <w:sz w:val="23"/>
          <w:szCs w:val="23"/>
        </w:rPr>
      </w:pPr>
      <w:r w:rsidRPr="0082606B">
        <w:rPr>
          <w:b/>
          <w:bCs/>
          <w:sz w:val="23"/>
          <w:szCs w:val="23"/>
        </w:rPr>
        <w:t>Pre-application</w:t>
      </w:r>
      <w:r>
        <w:rPr>
          <w:bCs/>
          <w:sz w:val="23"/>
          <w:szCs w:val="23"/>
        </w:rPr>
        <w:t xml:space="preserve"> – beginning with a self assessment diagnostic.  All eight Lancashire CCGs have successfully completed this stage.</w:t>
      </w:r>
    </w:p>
    <w:p w:rsidR="00D82627" w:rsidRDefault="00D82627" w:rsidP="00BB1048">
      <w:pPr>
        <w:jc w:val="both"/>
        <w:rPr>
          <w:bCs/>
          <w:sz w:val="23"/>
          <w:szCs w:val="23"/>
        </w:rPr>
      </w:pPr>
    </w:p>
    <w:p w:rsidR="00D82627" w:rsidRDefault="00D82627" w:rsidP="00BB1048">
      <w:pPr>
        <w:numPr>
          <w:ilvl w:val="0"/>
          <w:numId w:val="18"/>
        </w:numPr>
        <w:jc w:val="both"/>
        <w:rPr>
          <w:bCs/>
          <w:sz w:val="23"/>
          <w:szCs w:val="23"/>
        </w:rPr>
      </w:pPr>
      <w:r w:rsidRPr="0082606B">
        <w:rPr>
          <w:b/>
          <w:bCs/>
          <w:sz w:val="23"/>
          <w:szCs w:val="23"/>
        </w:rPr>
        <w:t>Application</w:t>
      </w:r>
      <w:r>
        <w:rPr>
          <w:bCs/>
          <w:sz w:val="23"/>
          <w:szCs w:val="23"/>
        </w:rPr>
        <w:t xml:space="preserve"> – each aspiring CCG will need to submit an application form to the NHS Commissioning Board.  The form will provide some detail about </w:t>
      </w:r>
      <w:r w:rsidR="0082606B">
        <w:rPr>
          <w:bCs/>
          <w:sz w:val="23"/>
          <w:szCs w:val="23"/>
        </w:rPr>
        <w:t xml:space="preserve">the </w:t>
      </w:r>
      <w:r>
        <w:rPr>
          <w:bCs/>
          <w:sz w:val="23"/>
          <w:szCs w:val="23"/>
        </w:rPr>
        <w:t>CCG, list the evidence which the CCG is submitting to support its application and enable the CCG to declare compliance with certain criteria</w:t>
      </w:r>
    </w:p>
    <w:p w:rsidR="00D82627" w:rsidRDefault="00D82627" w:rsidP="00BB1048">
      <w:pPr>
        <w:jc w:val="both"/>
        <w:rPr>
          <w:bCs/>
          <w:sz w:val="23"/>
          <w:szCs w:val="23"/>
        </w:rPr>
      </w:pPr>
    </w:p>
    <w:p w:rsidR="00D82627" w:rsidRDefault="00D82627" w:rsidP="00BB1048">
      <w:pPr>
        <w:ind w:left="720"/>
        <w:jc w:val="both"/>
        <w:rPr>
          <w:bCs/>
          <w:sz w:val="23"/>
          <w:szCs w:val="23"/>
        </w:rPr>
      </w:pPr>
      <w:r>
        <w:rPr>
          <w:bCs/>
          <w:sz w:val="23"/>
          <w:szCs w:val="23"/>
        </w:rPr>
        <w:t>All Lancashire CCGs are currently preparing their evidence in support of their application.</w:t>
      </w:r>
    </w:p>
    <w:p w:rsidR="00D82627" w:rsidRDefault="00D82627" w:rsidP="00BB1048">
      <w:pPr>
        <w:jc w:val="both"/>
        <w:rPr>
          <w:bCs/>
          <w:sz w:val="23"/>
          <w:szCs w:val="23"/>
        </w:rPr>
      </w:pPr>
    </w:p>
    <w:p w:rsidR="00D82627" w:rsidRPr="00D82627" w:rsidRDefault="00D82627" w:rsidP="00BB1048">
      <w:pPr>
        <w:numPr>
          <w:ilvl w:val="0"/>
          <w:numId w:val="18"/>
        </w:numPr>
        <w:jc w:val="both"/>
        <w:rPr>
          <w:bCs/>
          <w:sz w:val="23"/>
          <w:szCs w:val="23"/>
        </w:rPr>
      </w:pPr>
      <w:r w:rsidRPr="0082606B">
        <w:rPr>
          <w:b/>
          <w:bCs/>
          <w:sz w:val="23"/>
          <w:szCs w:val="23"/>
        </w:rPr>
        <w:t>NHSCB Assessment</w:t>
      </w:r>
      <w:r>
        <w:rPr>
          <w:bCs/>
          <w:sz w:val="23"/>
          <w:szCs w:val="23"/>
        </w:rPr>
        <w:t xml:space="preserve"> – the formal assessment will be based on the evidence gained from several key components including </w:t>
      </w:r>
      <w:r w:rsidR="0082606B">
        <w:rPr>
          <w:bCs/>
          <w:sz w:val="23"/>
          <w:szCs w:val="23"/>
        </w:rPr>
        <w:t xml:space="preserve">a </w:t>
      </w:r>
      <w:r>
        <w:rPr>
          <w:bCs/>
          <w:sz w:val="23"/>
          <w:szCs w:val="23"/>
        </w:rPr>
        <w:t>360</w:t>
      </w:r>
      <w:r>
        <w:rPr>
          <w:bCs/>
          <w:sz w:val="23"/>
          <w:szCs w:val="23"/>
          <w:vertAlign w:val="superscript"/>
        </w:rPr>
        <w:t>0</w:t>
      </w:r>
      <w:r>
        <w:rPr>
          <w:bCs/>
          <w:sz w:val="23"/>
          <w:szCs w:val="23"/>
        </w:rPr>
        <w:t xml:space="preserve"> survey, a </w:t>
      </w:r>
      <w:r w:rsidR="0082606B">
        <w:rPr>
          <w:bCs/>
          <w:sz w:val="23"/>
          <w:szCs w:val="23"/>
        </w:rPr>
        <w:t>desk top review, case studies and site visits.</w:t>
      </w:r>
    </w:p>
    <w:p w:rsidR="00D82627" w:rsidRDefault="00D82627" w:rsidP="00BB1048">
      <w:pPr>
        <w:jc w:val="both"/>
        <w:rPr>
          <w:bCs/>
          <w:sz w:val="23"/>
          <w:szCs w:val="23"/>
        </w:rPr>
      </w:pPr>
    </w:p>
    <w:p w:rsidR="00D82627" w:rsidRDefault="0082606B" w:rsidP="00BB1048">
      <w:pPr>
        <w:jc w:val="both"/>
        <w:rPr>
          <w:bCs/>
          <w:sz w:val="23"/>
          <w:szCs w:val="23"/>
        </w:rPr>
      </w:pPr>
      <w:r>
        <w:rPr>
          <w:bCs/>
          <w:sz w:val="23"/>
          <w:szCs w:val="23"/>
        </w:rPr>
        <w:t>There are three possible outcomes for each CCG and each outcome will be accompanied by a development plan which has been agreed by the NHS Commissioning Board.  The three outcomes are:</w:t>
      </w:r>
    </w:p>
    <w:p w:rsidR="00234C15" w:rsidRPr="00BB1048" w:rsidRDefault="00234C15" w:rsidP="00BB1048">
      <w:pPr>
        <w:numPr>
          <w:ilvl w:val="0"/>
          <w:numId w:val="12"/>
        </w:numPr>
        <w:autoSpaceDE w:val="0"/>
        <w:autoSpaceDN w:val="0"/>
        <w:adjustRightInd w:val="0"/>
        <w:ind w:left="284" w:firstLine="0"/>
        <w:jc w:val="both"/>
        <w:rPr>
          <w:rFonts w:cs="Arial"/>
          <w:sz w:val="23"/>
          <w:szCs w:val="23"/>
        </w:rPr>
      </w:pPr>
      <w:r w:rsidRPr="00BB1048">
        <w:rPr>
          <w:rFonts w:cs="Arial"/>
          <w:b/>
          <w:sz w:val="23"/>
          <w:szCs w:val="23"/>
        </w:rPr>
        <w:lastRenderedPageBreak/>
        <w:t>Authorised</w:t>
      </w:r>
      <w:r w:rsidRPr="00BB1048">
        <w:rPr>
          <w:rFonts w:cs="Arial"/>
          <w:sz w:val="23"/>
          <w:szCs w:val="23"/>
        </w:rPr>
        <w:t xml:space="preserve"> – The CCG can assume the full powers and responsibilities</w:t>
      </w:r>
    </w:p>
    <w:p w:rsidR="00234C15" w:rsidRPr="00BB1048" w:rsidRDefault="00234C15" w:rsidP="00BB1048">
      <w:pPr>
        <w:autoSpaceDE w:val="0"/>
        <w:autoSpaceDN w:val="0"/>
        <w:adjustRightInd w:val="0"/>
        <w:ind w:left="284"/>
        <w:jc w:val="both"/>
        <w:rPr>
          <w:rFonts w:cs="Arial"/>
          <w:sz w:val="23"/>
          <w:szCs w:val="23"/>
        </w:rPr>
      </w:pPr>
    </w:p>
    <w:p w:rsidR="00234C15" w:rsidRPr="00BB1048" w:rsidRDefault="00234C15" w:rsidP="00BB1048">
      <w:pPr>
        <w:numPr>
          <w:ilvl w:val="0"/>
          <w:numId w:val="12"/>
        </w:numPr>
        <w:autoSpaceDE w:val="0"/>
        <w:autoSpaceDN w:val="0"/>
        <w:adjustRightInd w:val="0"/>
        <w:ind w:left="284" w:firstLine="0"/>
        <w:jc w:val="both"/>
        <w:rPr>
          <w:rFonts w:cs="Arial"/>
          <w:sz w:val="23"/>
          <w:szCs w:val="23"/>
        </w:rPr>
      </w:pPr>
      <w:r w:rsidRPr="00BB1048">
        <w:rPr>
          <w:rFonts w:cs="Arial"/>
          <w:b/>
          <w:sz w:val="23"/>
          <w:szCs w:val="23"/>
        </w:rPr>
        <w:t>Authorised with conditions</w:t>
      </w:r>
      <w:r w:rsidRPr="00BB1048">
        <w:rPr>
          <w:rFonts w:cs="Arial"/>
          <w:sz w:val="23"/>
          <w:szCs w:val="23"/>
        </w:rPr>
        <w:t xml:space="preserve"> – the CCG has not met all of the thresholds and </w:t>
      </w:r>
      <w:r w:rsidRPr="00BB1048">
        <w:rPr>
          <w:rFonts w:cs="Arial"/>
          <w:sz w:val="23"/>
          <w:szCs w:val="23"/>
        </w:rPr>
        <w:tab/>
        <w:t>will be authorised with limits or directions on how it carries out its functions</w:t>
      </w:r>
    </w:p>
    <w:p w:rsidR="00234C15" w:rsidRPr="00BB1048" w:rsidRDefault="00234C15" w:rsidP="00BB1048">
      <w:pPr>
        <w:autoSpaceDE w:val="0"/>
        <w:autoSpaceDN w:val="0"/>
        <w:adjustRightInd w:val="0"/>
        <w:ind w:left="284"/>
        <w:jc w:val="both"/>
        <w:rPr>
          <w:rFonts w:cs="Arial"/>
          <w:sz w:val="23"/>
          <w:szCs w:val="23"/>
        </w:rPr>
      </w:pPr>
    </w:p>
    <w:p w:rsidR="00DF7A50" w:rsidRPr="00BB1048" w:rsidRDefault="00234C15" w:rsidP="00BB1048">
      <w:pPr>
        <w:numPr>
          <w:ilvl w:val="0"/>
          <w:numId w:val="12"/>
        </w:numPr>
        <w:autoSpaceDE w:val="0"/>
        <w:autoSpaceDN w:val="0"/>
        <w:adjustRightInd w:val="0"/>
        <w:ind w:left="284" w:firstLine="0"/>
        <w:jc w:val="both"/>
        <w:rPr>
          <w:bCs/>
          <w:sz w:val="23"/>
          <w:szCs w:val="23"/>
        </w:rPr>
      </w:pPr>
      <w:r w:rsidRPr="00BB1048">
        <w:rPr>
          <w:rFonts w:cs="Arial"/>
          <w:b/>
          <w:sz w:val="23"/>
          <w:szCs w:val="23"/>
        </w:rPr>
        <w:t>Established but not authorised</w:t>
      </w:r>
      <w:r w:rsidRPr="00BB1048">
        <w:rPr>
          <w:rFonts w:cs="Arial"/>
          <w:sz w:val="23"/>
          <w:szCs w:val="23"/>
        </w:rPr>
        <w:t xml:space="preserve"> – this is where the CCGs are e</w:t>
      </w:r>
      <w:r w:rsidR="00D82627" w:rsidRPr="00BB1048">
        <w:rPr>
          <w:rFonts w:cs="Arial"/>
          <w:sz w:val="23"/>
          <w:szCs w:val="23"/>
        </w:rPr>
        <w:t xml:space="preserve">stablished </w:t>
      </w:r>
      <w:r w:rsidR="00D82627" w:rsidRPr="00BB1048">
        <w:rPr>
          <w:rFonts w:cs="Arial"/>
          <w:sz w:val="23"/>
          <w:szCs w:val="23"/>
        </w:rPr>
        <w:tab/>
        <w:t xml:space="preserve">but </w:t>
      </w:r>
      <w:r w:rsidR="00BB1048">
        <w:rPr>
          <w:rFonts w:cs="Arial"/>
          <w:sz w:val="23"/>
          <w:szCs w:val="23"/>
        </w:rPr>
        <w:tab/>
      </w:r>
      <w:r w:rsidR="00D82627" w:rsidRPr="00BB1048">
        <w:rPr>
          <w:rFonts w:cs="Arial"/>
          <w:sz w:val="23"/>
          <w:szCs w:val="23"/>
        </w:rPr>
        <w:t>with conditions that</w:t>
      </w:r>
      <w:r w:rsidRPr="00BB1048">
        <w:rPr>
          <w:rFonts w:cs="Arial"/>
          <w:sz w:val="23"/>
          <w:szCs w:val="23"/>
        </w:rPr>
        <w:t xml:space="preserve"> are s</w:t>
      </w:r>
      <w:r w:rsidR="00D82627" w:rsidRPr="00BB1048">
        <w:rPr>
          <w:rFonts w:cs="Arial"/>
          <w:sz w:val="23"/>
          <w:szCs w:val="23"/>
        </w:rPr>
        <w:t xml:space="preserve">uch that it cannot take on its </w:t>
      </w:r>
      <w:r w:rsidRPr="00BB1048">
        <w:rPr>
          <w:rFonts w:cs="Arial"/>
          <w:sz w:val="23"/>
          <w:szCs w:val="23"/>
        </w:rPr>
        <w:t xml:space="preserve">functions as a CCG.  </w:t>
      </w:r>
      <w:r w:rsidR="00D82627" w:rsidRPr="00BB1048">
        <w:rPr>
          <w:rFonts w:cs="Arial"/>
          <w:sz w:val="23"/>
          <w:szCs w:val="23"/>
        </w:rPr>
        <w:tab/>
      </w:r>
      <w:r w:rsidRPr="00BB1048">
        <w:rPr>
          <w:rFonts w:cs="Arial"/>
          <w:sz w:val="23"/>
          <w:szCs w:val="23"/>
        </w:rPr>
        <w:t xml:space="preserve">In </w:t>
      </w:r>
      <w:r w:rsidR="00BB1048">
        <w:rPr>
          <w:rFonts w:cs="Arial"/>
          <w:sz w:val="23"/>
          <w:szCs w:val="23"/>
        </w:rPr>
        <w:tab/>
      </w:r>
      <w:r w:rsidRPr="00BB1048">
        <w:rPr>
          <w:rFonts w:cs="Arial"/>
          <w:sz w:val="23"/>
          <w:szCs w:val="23"/>
        </w:rPr>
        <w:t xml:space="preserve">this case the NHSCB </w:t>
      </w:r>
      <w:r w:rsidR="00D82627" w:rsidRPr="00BB1048">
        <w:rPr>
          <w:rFonts w:cs="Arial"/>
          <w:sz w:val="23"/>
          <w:szCs w:val="23"/>
        </w:rPr>
        <w:t xml:space="preserve">will have to make alternative </w:t>
      </w:r>
      <w:r w:rsidRPr="00BB1048">
        <w:rPr>
          <w:rFonts w:cs="Arial"/>
          <w:sz w:val="23"/>
          <w:szCs w:val="23"/>
        </w:rPr>
        <w:t xml:space="preserve">arrangements for </w:t>
      </w:r>
      <w:r w:rsidR="00D82627" w:rsidRPr="00BB1048">
        <w:rPr>
          <w:rFonts w:cs="Arial"/>
          <w:sz w:val="23"/>
          <w:szCs w:val="23"/>
        </w:rPr>
        <w:tab/>
      </w:r>
      <w:r w:rsidRPr="00BB1048">
        <w:rPr>
          <w:rFonts w:cs="Arial"/>
          <w:sz w:val="23"/>
          <w:szCs w:val="23"/>
        </w:rPr>
        <w:t>commissioning for that CC</w:t>
      </w:r>
      <w:r w:rsidR="00D82627" w:rsidRPr="00BB1048">
        <w:rPr>
          <w:rFonts w:cs="Arial"/>
          <w:sz w:val="23"/>
          <w:szCs w:val="23"/>
        </w:rPr>
        <w:t xml:space="preserve">G area until the shadow CCG is </w:t>
      </w:r>
      <w:r w:rsidRPr="00BB1048">
        <w:rPr>
          <w:rFonts w:cs="Arial"/>
          <w:sz w:val="23"/>
          <w:szCs w:val="23"/>
        </w:rPr>
        <w:t xml:space="preserve">ready to move </w:t>
      </w:r>
      <w:r w:rsidR="00D82627" w:rsidRPr="00BB1048">
        <w:rPr>
          <w:rFonts w:cs="Arial"/>
          <w:sz w:val="23"/>
          <w:szCs w:val="23"/>
        </w:rPr>
        <w:tab/>
      </w:r>
      <w:r w:rsidRPr="00BB1048">
        <w:rPr>
          <w:rFonts w:cs="Arial"/>
          <w:sz w:val="23"/>
          <w:szCs w:val="23"/>
        </w:rPr>
        <w:t>forward.</w:t>
      </w:r>
    </w:p>
    <w:p w:rsidR="00234C15" w:rsidRPr="00BB1048" w:rsidRDefault="00234C15" w:rsidP="00BB1048">
      <w:pPr>
        <w:pStyle w:val="ListParagraph"/>
        <w:rPr>
          <w:bCs/>
          <w:sz w:val="23"/>
          <w:szCs w:val="23"/>
        </w:rPr>
      </w:pPr>
    </w:p>
    <w:p w:rsidR="00234C15" w:rsidRDefault="00234C15" w:rsidP="00BB1048">
      <w:pPr>
        <w:autoSpaceDE w:val="0"/>
        <w:autoSpaceDN w:val="0"/>
        <w:adjustRightInd w:val="0"/>
        <w:jc w:val="both"/>
        <w:rPr>
          <w:sz w:val="23"/>
          <w:szCs w:val="23"/>
        </w:rPr>
      </w:pPr>
      <w:r>
        <w:rPr>
          <w:sz w:val="23"/>
          <w:szCs w:val="23"/>
        </w:rPr>
        <w:t xml:space="preserve">Guidance has been published to support CCGs through the process and </w:t>
      </w:r>
      <w:r w:rsidR="00BB1048">
        <w:rPr>
          <w:sz w:val="23"/>
          <w:szCs w:val="23"/>
        </w:rPr>
        <w:t>a regular series of workshops is</w:t>
      </w:r>
      <w:r>
        <w:rPr>
          <w:sz w:val="23"/>
          <w:szCs w:val="23"/>
        </w:rPr>
        <w:t xml:space="preserve"> supporting specific areas of activity and development.</w:t>
      </w:r>
    </w:p>
    <w:p w:rsidR="00234C15" w:rsidRDefault="00234C15" w:rsidP="00BB1048">
      <w:pPr>
        <w:autoSpaceDE w:val="0"/>
        <w:autoSpaceDN w:val="0"/>
        <w:adjustRightInd w:val="0"/>
        <w:jc w:val="both"/>
        <w:rPr>
          <w:sz w:val="23"/>
          <w:szCs w:val="23"/>
        </w:rPr>
      </w:pPr>
    </w:p>
    <w:p w:rsidR="00234C15" w:rsidRDefault="00234C15" w:rsidP="00BB1048">
      <w:pPr>
        <w:autoSpaceDE w:val="0"/>
        <w:autoSpaceDN w:val="0"/>
        <w:adjustRightInd w:val="0"/>
        <w:jc w:val="both"/>
        <w:rPr>
          <w:sz w:val="23"/>
          <w:szCs w:val="23"/>
        </w:rPr>
      </w:pPr>
      <w:r>
        <w:rPr>
          <w:sz w:val="23"/>
          <w:szCs w:val="23"/>
        </w:rPr>
        <w:t>The timetable for application and assessment has been set out in four waves and CCGs are currently being asked to indicate which Wave they would prefer as determined by their own confidence in their state of readiness.</w:t>
      </w:r>
    </w:p>
    <w:p w:rsidR="00901D30" w:rsidRDefault="00901D30" w:rsidP="00BB1048">
      <w:pPr>
        <w:autoSpaceDE w:val="0"/>
        <w:autoSpaceDN w:val="0"/>
        <w:adjustRightInd w:val="0"/>
        <w:jc w:val="both"/>
        <w:rPr>
          <w:sz w:val="23"/>
          <w:szCs w:val="23"/>
        </w:rPr>
      </w:pPr>
    </w:p>
    <w:p w:rsidR="00901D30" w:rsidRDefault="00901D30" w:rsidP="00BB1048">
      <w:pPr>
        <w:autoSpaceDE w:val="0"/>
        <w:autoSpaceDN w:val="0"/>
        <w:adjustRightInd w:val="0"/>
        <w:jc w:val="both"/>
        <w:rPr>
          <w:sz w:val="23"/>
          <w:szCs w:val="23"/>
        </w:rPr>
      </w:pPr>
      <w:r>
        <w:rPr>
          <w:sz w:val="23"/>
          <w:szCs w:val="23"/>
        </w:rPr>
        <w:t xml:space="preserve">The deadlines for </w:t>
      </w:r>
      <w:r w:rsidR="00C250AB">
        <w:rPr>
          <w:sz w:val="23"/>
          <w:szCs w:val="23"/>
        </w:rPr>
        <w:t>the four waves are:</w:t>
      </w:r>
    </w:p>
    <w:p w:rsidR="00C250AB" w:rsidRDefault="00C250AB" w:rsidP="00BB1048">
      <w:pPr>
        <w:autoSpaceDE w:val="0"/>
        <w:autoSpaceDN w:val="0"/>
        <w:adjustRightInd w:val="0"/>
        <w:jc w:val="both"/>
        <w:rPr>
          <w:sz w:val="23"/>
          <w:szCs w:val="23"/>
        </w:rPr>
      </w:pPr>
    </w:p>
    <w:tbl>
      <w:tblPr>
        <w:tblW w:w="8460"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373"/>
        <w:gridCol w:w="2268"/>
        <w:gridCol w:w="2268"/>
        <w:gridCol w:w="2551"/>
      </w:tblGrid>
      <w:tr w:rsidR="00C250AB" w:rsidTr="00BB1048">
        <w:tc>
          <w:tcPr>
            <w:tcW w:w="1373" w:type="dxa"/>
          </w:tcPr>
          <w:p w:rsidR="00C250AB" w:rsidRPr="00AA176A" w:rsidRDefault="00C250AB" w:rsidP="00A5098E">
            <w:pPr>
              <w:autoSpaceDE w:val="0"/>
              <w:autoSpaceDN w:val="0"/>
              <w:adjustRightInd w:val="0"/>
              <w:jc w:val="both"/>
              <w:rPr>
                <w:rFonts w:cs="Arial"/>
              </w:rPr>
            </w:pPr>
          </w:p>
        </w:tc>
        <w:tc>
          <w:tcPr>
            <w:tcW w:w="2268" w:type="dxa"/>
          </w:tcPr>
          <w:p w:rsidR="00C250AB" w:rsidRPr="00AA176A" w:rsidRDefault="00C250AB" w:rsidP="00A5098E">
            <w:pPr>
              <w:autoSpaceDE w:val="0"/>
              <w:autoSpaceDN w:val="0"/>
              <w:adjustRightInd w:val="0"/>
              <w:jc w:val="both"/>
              <w:rPr>
                <w:rFonts w:cs="Arial"/>
                <w:b/>
              </w:rPr>
            </w:pPr>
            <w:r w:rsidRPr="00AA176A">
              <w:rPr>
                <w:rFonts w:cs="Arial"/>
                <w:b/>
              </w:rPr>
              <w:t>360</w:t>
            </w:r>
            <w:r w:rsidRPr="00AA176A">
              <w:rPr>
                <w:rFonts w:cs="Arial"/>
                <w:b/>
                <w:vertAlign w:val="superscript"/>
              </w:rPr>
              <w:t>0</w:t>
            </w:r>
            <w:r w:rsidRPr="00AA176A">
              <w:rPr>
                <w:rFonts w:cs="Arial"/>
                <w:b/>
              </w:rPr>
              <w:t xml:space="preserve"> Stakeholder</w:t>
            </w:r>
          </w:p>
          <w:p w:rsidR="00C250AB" w:rsidRPr="00AA176A" w:rsidRDefault="00C250AB" w:rsidP="00A5098E">
            <w:pPr>
              <w:autoSpaceDE w:val="0"/>
              <w:autoSpaceDN w:val="0"/>
              <w:adjustRightInd w:val="0"/>
              <w:jc w:val="both"/>
              <w:rPr>
                <w:rFonts w:cs="Arial"/>
                <w:b/>
              </w:rPr>
            </w:pPr>
            <w:r w:rsidRPr="00AA176A">
              <w:rPr>
                <w:rFonts w:cs="Arial"/>
                <w:b/>
              </w:rPr>
              <w:t>Survey</w:t>
            </w:r>
          </w:p>
        </w:tc>
        <w:tc>
          <w:tcPr>
            <w:tcW w:w="2268" w:type="dxa"/>
          </w:tcPr>
          <w:p w:rsidR="00C250AB" w:rsidRPr="00AA176A" w:rsidRDefault="00C250AB" w:rsidP="00A5098E">
            <w:pPr>
              <w:autoSpaceDE w:val="0"/>
              <w:autoSpaceDN w:val="0"/>
              <w:adjustRightInd w:val="0"/>
              <w:jc w:val="both"/>
              <w:rPr>
                <w:rFonts w:cs="Arial"/>
                <w:b/>
              </w:rPr>
            </w:pPr>
            <w:r w:rsidRPr="00AA176A">
              <w:rPr>
                <w:rFonts w:cs="Arial"/>
                <w:b/>
              </w:rPr>
              <w:t>Application</w:t>
            </w:r>
          </w:p>
          <w:p w:rsidR="00C250AB" w:rsidRPr="00AA176A" w:rsidRDefault="00C250AB" w:rsidP="00A5098E">
            <w:pPr>
              <w:autoSpaceDE w:val="0"/>
              <w:autoSpaceDN w:val="0"/>
              <w:adjustRightInd w:val="0"/>
              <w:jc w:val="both"/>
              <w:rPr>
                <w:rFonts w:cs="Arial"/>
                <w:b/>
              </w:rPr>
            </w:pPr>
            <w:r w:rsidRPr="00AA176A">
              <w:rPr>
                <w:rFonts w:cs="Arial"/>
                <w:b/>
              </w:rPr>
              <w:t>Submitted</w:t>
            </w:r>
          </w:p>
        </w:tc>
        <w:tc>
          <w:tcPr>
            <w:tcW w:w="2551" w:type="dxa"/>
          </w:tcPr>
          <w:p w:rsidR="00C250AB" w:rsidRPr="00AA176A" w:rsidRDefault="00C250AB" w:rsidP="00A5098E">
            <w:pPr>
              <w:autoSpaceDE w:val="0"/>
              <w:autoSpaceDN w:val="0"/>
              <w:adjustRightInd w:val="0"/>
              <w:jc w:val="both"/>
              <w:rPr>
                <w:rFonts w:cs="Arial"/>
                <w:b/>
              </w:rPr>
            </w:pPr>
            <w:r w:rsidRPr="00AA176A">
              <w:rPr>
                <w:rFonts w:cs="Arial"/>
                <w:b/>
              </w:rPr>
              <w:t>Decision by:</w:t>
            </w:r>
          </w:p>
        </w:tc>
      </w:tr>
      <w:tr w:rsidR="00C250AB" w:rsidTr="00BB1048">
        <w:tc>
          <w:tcPr>
            <w:tcW w:w="1373" w:type="dxa"/>
          </w:tcPr>
          <w:p w:rsidR="00C250AB" w:rsidRPr="00AA176A" w:rsidRDefault="00C250AB" w:rsidP="00A5098E">
            <w:pPr>
              <w:autoSpaceDE w:val="0"/>
              <w:autoSpaceDN w:val="0"/>
              <w:adjustRightInd w:val="0"/>
              <w:jc w:val="both"/>
              <w:rPr>
                <w:rFonts w:cs="Arial"/>
              </w:rPr>
            </w:pPr>
            <w:r w:rsidRPr="00AA176A">
              <w:rPr>
                <w:rFonts w:cs="Arial"/>
              </w:rPr>
              <w:t>Wave 1:</w:t>
            </w:r>
          </w:p>
        </w:tc>
        <w:tc>
          <w:tcPr>
            <w:tcW w:w="2268" w:type="dxa"/>
          </w:tcPr>
          <w:p w:rsidR="00C250AB" w:rsidRPr="00AA176A" w:rsidRDefault="00C250AB" w:rsidP="00A5098E">
            <w:pPr>
              <w:autoSpaceDE w:val="0"/>
              <w:autoSpaceDN w:val="0"/>
              <w:adjustRightInd w:val="0"/>
              <w:jc w:val="both"/>
              <w:rPr>
                <w:rFonts w:cs="Arial"/>
              </w:rPr>
            </w:pPr>
            <w:r w:rsidRPr="00AA176A">
              <w:rPr>
                <w:rFonts w:cs="Arial"/>
              </w:rPr>
              <w:t>June</w:t>
            </w:r>
          </w:p>
        </w:tc>
        <w:tc>
          <w:tcPr>
            <w:tcW w:w="2268" w:type="dxa"/>
          </w:tcPr>
          <w:p w:rsidR="00C250AB" w:rsidRPr="00AA176A" w:rsidRDefault="00C250AB" w:rsidP="00A5098E">
            <w:pPr>
              <w:autoSpaceDE w:val="0"/>
              <w:autoSpaceDN w:val="0"/>
              <w:adjustRightInd w:val="0"/>
              <w:jc w:val="both"/>
              <w:rPr>
                <w:rFonts w:cs="Arial"/>
              </w:rPr>
            </w:pPr>
            <w:r w:rsidRPr="00AA176A">
              <w:rPr>
                <w:rFonts w:cs="Arial"/>
              </w:rPr>
              <w:t>July</w:t>
            </w:r>
          </w:p>
        </w:tc>
        <w:tc>
          <w:tcPr>
            <w:tcW w:w="2551" w:type="dxa"/>
          </w:tcPr>
          <w:p w:rsidR="00C250AB" w:rsidRPr="00AA176A" w:rsidRDefault="00C250AB" w:rsidP="00A5098E">
            <w:pPr>
              <w:autoSpaceDE w:val="0"/>
              <w:autoSpaceDN w:val="0"/>
              <w:adjustRightInd w:val="0"/>
              <w:jc w:val="both"/>
              <w:rPr>
                <w:rFonts w:cs="Arial"/>
              </w:rPr>
            </w:pPr>
            <w:r w:rsidRPr="00AA176A">
              <w:rPr>
                <w:rFonts w:cs="Arial"/>
              </w:rPr>
              <w:t>31 October</w:t>
            </w:r>
          </w:p>
        </w:tc>
      </w:tr>
      <w:tr w:rsidR="00C250AB" w:rsidTr="00BB1048">
        <w:tc>
          <w:tcPr>
            <w:tcW w:w="1373" w:type="dxa"/>
          </w:tcPr>
          <w:p w:rsidR="00C250AB" w:rsidRPr="00AA176A" w:rsidRDefault="00C250AB" w:rsidP="00A5098E">
            <w:pPr>
              <w:autoSpaceDE w:val="0"/>
              <w:autoSpaceDN w:val="0"/>
              <w:adjustRightInd w:val="0"/>
              <w:jc w:val="both"/>
              <w:rPr>
                <w:rFonts w:cs="Arial"/>
              </w:rPr>
            </w:pPr>
            <w:r w:rsidRPr="00AA176A">
              <w:rPr>
                <w:rFonts w:cs="Arial"/>
              </w:rPr>
              <w:t>Wave 2:</w:t>
            </w:r>
          </w:p>
        </w:tc>
        <w:tc>
          <w:tcPr>
            <w:tcW w:w="2268" w:type="dxa"/>
          </w:tcPr>
          <w:p w:rsidR="00C250AB" w:rsidRPr="00AA176A" w:rsidRDefault="00C250AB" w:rsidP="00A5098E">
            <w:pPr>
              <w:autoSpaceDE w:val="0"/>
              <w:autoSpaceDN w:val="0"/>
              <w:adjustRightInd w:val="0"/>
              <w:jc w:val="both"/>
              <w:rPr>
                <w:rFonts w:cs="Arial"/>
              </w:rPr>
            </w:pPr>
            <w:r w:rsidRPr="00AA176A">
              <w:rPr>
                <w:rFonts w:cs="Arial"/>
              </w:rPr>
              <w:t>July</w:t>
            </w:r>
          </w:p>
        </w:tc>
        <w:tc>
          <w:tcPr>
            <w:tcW w:w="2268" w:type="dxa"/>
          </w:tcPr>
          <w:p w:rsidR="00C250AB" w:rsidRPr="00AA176A" w:rsidRDefault="00C250AB" w:rsidP="00A5098E">
            <w:pPr>
              <w:autoSpaceDE w:val="0"/>
              <w:autoSpaceDN w:val="0"/>
              <w:adjustRightInd w:val="0"/>
              <w:jc w:val="both"/>
              <w:rPr>
                <w:rFonts w:cs="Arial"/>
              </w:rPr>
            </w:pPr>
            <w:r w:rsidRPr="00AA176A">
              <w:rPr>
                <w:rFonts w:cs="Arial"/>
              </w:rPr>
              <w:t>September</w:t>
            </w:r>
          </w:p>
        </w:tc>
        <w:tc>
          <w:tcPr>
            <w:tcW w:w="2551" w:type="dxa"/>
          </w:tcPr>
          <w:p w:rsidR="00C250AB" w:rsidRPr="00AA176A" w:rsidRDefault="00C250AB" w:rsidP="00A5098E">
            <w:pPr>
              <w:autoSpaceDE w:val="0"/>
              <w:autoSpaceDN w:val="0"/>
              <w:adjustRightInd w:val="0"/>
              <w:jc w:val="both"/>
              <w:rPr>
                <w:rFonts w:cs="Arial"/>
              </w:rPr>
            </w:pPr>
            <w:r w:rsidRPr="00AA176A">
              <w:rPr>
                <w:rFonts w:cs="Arial"/>
              </w:rPr>
              <w:t>30 November</w:t>
            </w:r>
          </w:p>
        </w:tc>
      </w:tr>
      <w:tr w:rsidR="00C250AB" w:rsidTr="00BB1048">
        <w:tc>
          <w:tcPr>
            <w:tcW w:w="1373" w:type="dxa"/>
          </w:tcPr>
          <w:p w:rsidR="00C250AB" w:rsidRPr="00AA176A" w:rsidRDefault="00C250AB" w:rsidP="00A5098E">
            <w:pPr>
              <w:autoSpaceDE w:val="0"/>
              <w:autoSpaceDN w:val="0"/>
              <w:adjustRightInd w:val="0"/>
              <w:jc w:val="both"/>
              <w:rPr>
                <w:rFonts w:cs="Arial"/>
              </w:rPr>
            </w:pPr>
            <w:r w:rsidRPr="00AA176A">
              <w:rPr>
                <w:rFonts w:cs="Arial"/>
              </w:rPr>
              <w:t>Wave 3:</w:t>
            </w:r>
          </w:p>
        </w:tc>
        <w:tc>
          <w:tcPr>
            <w:tcW w:w="2268" w:type="dxa"/>
          </w:tcPr>
          <w:p w:rsidR="00C250AB" w:rsidRPr="00AA176A" w:rsidRDefault="00C250AB" w:rsidP="00A5098E">
            <w:pPr>
              <w:autoSpaceDE w:val="0"/>
              <w:autoSpaceDN w:val="0"/>
              <w:adjustRightInd w:val="0"/>
              <w:jc w:val="both"/>
              <w:rPr>
                <w:rFonts w:cs="Arial"/>
              </w:rPr>
            </w:pPr>
            <w:r w:rsidRPr="00AA176A">
              <w:rPr>
                <w:rFonts w:cs="Arial"/>
              </w:rPr>
              <w:t>September</w:t>
            </w:r>
          </w:p>
        </w:tc>
        <w:tc>
          <w:tcPr>
            <w:tcW w:w="2268" w:type="dxa"/>
          </w:tcPr>
          <w:p w:rsidR="00C250AB" w:rsidRPr="00AA176A" w:rsidRDefault="00C250AB" w:rsidP="00A5098E">
            <w:pPr>
              <w:autoSpaceDE w:val="0"/>
              <w:autoSpaceDN w:val="0"/>
              <w:adjustRightInd w:val="0"/>
              <w:jc w:val="both"/>
              <w:rPr>
                <w:rFonts w:cs="Arial"/>
              </w:rPr>
            </w:pPr>
            <w:r w:rsidRPr="00AA176A">
              <w:rPr>
                <w:rFonts w:cs="Arial"/>
              </w:rPr>
              <w:t>October</w:t>
            </w:r>
          </w:p>
        </w:tc>
        <w:tc>
          <w:tcPr>
            <w:tcW w:w="2551" w:type="dxa"/>
          </w:tcPr>
          <w:p w:rsidR="00C250AB" w:rsidRPr="00AA176A" w:rsidRDefault="00C250AB" w:rsidP="00A5098E">
            <w:pPr>
              <w:autoSpaceDE w:val="0"/>
              <w:autoSpaceDN w:val="0"/>
              <w:adjustRightInd w:val="0"/>
              <w:jc w:val="both"/>
              <w:rPr>
                <w:rFonts w:cs="Arial"/>
              </w:rPr>
            </w:pPr>
            <w:r w:rsidRPr="00AA176A">
              <w:rPr>
                <w:rFonts w:cs="Arial"/>
              </w:rPr>
              <w:t>31 December</w:t>
            </w:r>
          </w:p>
        </w:tc>
      </w:tr>
      <w:tr w:rsidR="00C250AB" w:rsidTr="00BB1048">
        <w:tc>
          <w:tcPr>
            <w:tcW w:w="1373" w:type="dxa"/>
          </w:tcPr>
          <w:p w:rsidR="00C250AB" w:rsidRPr="00AA176A" w:rsidRDefault="00C250AB" w:rsidP="00A5098E">
            <w:pPr>
              <w:autoSpaceDE w:val="0"/>
              <w:autoSpaceDN w:val="0"/>
              <w:adjustRightInd w:val="0"/>
              <w:jc w:val="both"/>
              <w:rPr>
                <w:rFonts w:cs="Arial"/>
              </w:rPr>
            </w:pPr>
            <w:r w:rsidRPr="00AA176A">
              <w:rPr>
                <w:rFonts w:cs="Arial"/>
              </w:rPr>
              <w:t>Wave 4:</w:t>
            </w:r>
          </w:p>
        </w:tc>
        <w:tc>
          <w:tcPr>
            <w:tcW w:w="2268" w:type="dxa"/>
          </w:tcPr>
          <w:p w:rsidR="00C250AB" w:rsidRPr="00AA176A" w:rsidRDefault="00C250AB" w:rsidP="00A5098E">
            <w:pPr>
              <w:autoSpaceDE w:val="0"/>
              <w:autoSpaceDN w:val="0"/>
              <w:adjustRightInd w:val="0"/>
              <w:jc w:val="both"/>
              <w:rPr>
                <w:rFonts w:cs="Arial"/>
              </w:rPr>
            </w:pPr>
            <w:r w:rsidRPr="00AA176A">
              <w:rPr>
                <w:rFonts w:cs="Arial"/>
              </w:rPr>
              <w:t>October</w:t>
            </w:r>
          </w:p>
        </w:tc>
        <w:tc>
          <w:tcPr>
            <w:tcW w:w="2268" w:type="dxa"/>
          </w:tcPr>
          <w:p w:rsidR="00C250AB" w:rsidRPr="00AA176A" w:rsidRDefault="00C250AB" w:rsidP="00A5098E">
            <w:pPr>
              <w:autoSpaceDE w:val="0"/>
              <w:autoSpaceDN w:val="0"/>
              <w:adjustRightInd w:val="0"/>
              <w:jc w:val="both"/>
              <w:rPr>
                <w:rFonts w:cs="Arial"/>
              </w:rPr>
            </w:pPr>
            <w:r w:rsidRPr="00AA176A">
              <w:rPr>
                <w:rFonts w:cs="Arial"/>
              </w:rPr>
              <w:t>November</w:t>
            </w:r>
          </w:p>
        </w:tc>
        <w:tc>
          <w:tcPr>
            <w:tcW w:w="2551" w:type="dxa"/>
          </w:tcPr>
          <w:p w:rsidR="00C250AB" w:rsidRPr="00AA176A" w:rsidRDefault="00C250AB" w:rsidP="00A5098E">
            <w:pPr>
              <w:autoSpaceDE w:val="0"/>
              <w:autoSpaceDN w:val="0"/>
              <w:adjustRightInd w:val="0"/>
              <w:jc w:val="both"/>
              <w:rPr>
                <w:rFonts w:cs="Arial"/>
              </w:rPr>
            </w:pPr>
            <w:r w:rsidRPr="00AA176A">
              <w:rPr>
                <w:rFonts w:cs="Arial"/>
              </w:rPr>
              <w:t>31 January</w:t>
            </w:r>
          </w:p>
        </w:tc>
      </w:tr>
    </w:tbl>
    <w:p w:rsidR="00C250AB" w:rsidRDefault="00C250AB" w:rsidP="00BB1048">
      <w:pPr>
        <w:autoSpaceDE w:val="0"/>
        <w:autoSpaceDN w:val="0"/>
        <w:adjustRightInd w:val="0"/>
        <w:jc w:val="both"/>
        <w:rPr>
          <w:sz w:val="23"/>
          <w:szCs w:val="23"/>
        </w:rPr>
      </w:pPr>
    </w:p>
    <w:p w:rsidR="00C250AB" w:rsidRDefault="00C250AB" w:rsidP="00BB1048">
      <w:pPr>
        <w:autoSpaceDE w:val="0"/>
        <w:autoSpaceDN w:val="0"/>
        <w:adjustRightInd w:val="0"/>
        <w:jc w:val="both"/>
        <w:rPr>
          <w:sz w:val="23"/>
          <w:szCs w:val="23"/>
        </w:rPr>
      </w:pPr>
      <w:r>
        <w:rPr>
          <w:sz w:val="23"/>
          <w:szCs w:val="23"/>
        </w:rPr>
        <w:t>Locally, the CCGs are still determining which Wave they are intending to apply although the indications are that two of them will seek to apply in Wave 1 with the others in Waves 2 or 3.</w:t>
      </w:r>
    </w:p>
    <w:p w:rsidR="00C250AB" w:rsidRDefault="00C250AB" w:rsidP="00BB1048">
      <w:pPr>
        <w:autoSpaceDE w:val="0"/>
        <w:autoSpaceDN w:val="0"/>
        <w:adjustRightInd w:val="0"/>
        <w:jc w:val="both"/>
        <w:rPr>
          <w:sz w:val="23"/>
          <w:szCs w:val="23"/>
        </w:rPr>
      </w:pPr>
    </w:p>
    <w:p w:rsidR="00C250AB" w:rsidRPr="00C250AB" w:rsidRDefault="00C250AB" w:rsidP="00BB1048">
      <w:pPr>
        <w:autoSpaceDE w:val="0"/>
        <w:autoSpaceDN w:val="0"/>
        <w:adjustRightInd w:val="0"/>
        <w:jc w:val="both"/>
        <w:rPr>
          <w:b/>
          <w:sz w:val="23"/>
          <w:szCs w:val="23"/>
        </w:rPr>
      </w:pPr>
      <w:r w:rsidRPr="00C250AB">
        <w:rPr>
          <w:b/>
          <w:sz w:val="23"/>
          <w:szCs w:val="23"/>
        </w:rPr>
        <w:t>4.2</w:t>
      </w:r>
      <w:r w:rsidRPr="00C250AB">
        <w:rPr>
          <w:b/>
          <w:sz w:val="23"/>
          <w:szCs w:val="23"/>
        </w:rPr>
        <w:tab/>
        <w:t>The NHS Commissioning Board</w:t>
      </w:r>
    </w:p>
    <w:p w:rsidR="00C250AB" w:rsidRDefault="00C250AB" w:rsidP="00BB1048">
      <w:pPr>
        <w:autoSpaceDE w:val="0"/>
        <w:autoSpaceDN w:val="0"/>
        <w:adjustRightInd w:val="0"/>
        <w:jc w:val="both"/>
        <w:rPr>
          <w:sz w:val="23"/>
          <w:szCs w:val="23"/>
        </w:rPr>
      </w:pPr>
    </w:p>
    <w:p w:rsidR="00C250AB" w:rsidRDefault="00C250AB" w:rsidP="00BB1048">
      <w:pPr>
        <w:autoSpaceDE w:val="0"/>
        <w:autoSpaceDN w:val="0"/>
        <w:adjustRightInd w:val="0"/>
        <w:jc w:val="both"/>
        <w:rPr>
          <w:sz w:val="23"/>
          <w:szCs w:val="23"/>
        </w:rPr>
      </w:pPr>
      <w:r>
        <w:rPr>
          <w:sz w:val="23"/>
          <w:szCs w:val="23"/>
        </w:rPr>
        <w:t>The overarching role of the Board is to ensure that the NHS delivers better outcomes for patients within its available resources.  It will do this through its leadership on delivering the NHS Outcomes Framework, supported by its accountability framework for CCGs, its framework for ensuring choice and competition and its framework for emergency planning and resilience.</w:t>
      </w:r>
    </w:p>
    <w:p w:rsidR="00C250AB" w:rsidRDefault="00C250AB" w:rsidP="00BB1048">
      <w:pPr>
        <w:autoSpaceDE w:val="0"/>
        <w:autoSpaceDN w:val="0"/>
        <w:adjustRightInd w:val="0"/>
        <w:jc w:val="both"/>
        <w:rPr>
          <w:sz w:val="23"/>
          <w:szCs w:val="23"/>
        </w:rPr>
      </w:pPr>
    </w:p>
    <w:p w:rsidR="00C250AB" w:rsidRDefault="00C250AB" w:rsidP="00BB1048">
      <w:pPr>
        <w:autoSpaceDE w:val="0"/>
        <w:autoSpaceDN w:val="0"/>
        <w:adjustRightInd w:val="0"/>
        <w:jc w:val="both"/>
        <w:rPr>
          <w:sz w:val="23"/>
          <w:szCs w:val="23"/>
        </w:rPr>
      </w:pPr>
      <w:r>
        <w:rPr>
          <w:sz w:val="23"/>
          <w:szCs w:val="23"/>
        </w:rPr>
        <w:t>It is not possible to devolve all commissioning to CCGs nor to expect them to commission services from their member practices and so the government has established the NHS Commissioning Board (as yet in shadow form).  The Board will be a national body and its role will include supporting, developing and holding to account an effective and comprehensive system of clinical commissioning groups.  The Board will ensure that the whole new architecture is cohesive, co-ordinated and efficient.</w:t>
      </w:r>
    </w:p>
    <w:p w:rsidR="00C250AB" w:rsidRDefault="00C250AB" w:rsidP="00BB1048">
      <w:pPr>
        <w:autoSpaceDE w:val="0"/>
        <w:autoSpaceDN w:val="0"/>
        <w:adjustRightInd w:val="0"/>
        <w:jc w:val="both"/>
        <w:rPr>
          <w:sz w:val="23"/>
          <w:szCs w:val="23"/>
        </w:rPr>
      </w:pPr>
    </w:p>
    <w:p w:rsidR="00C250AB" w:rsidRDefault="00D82627" w:rsidP="00BB1048">
      <w:pPr>
        <w:autoSpaceDE w:val="0"/>
        <w:autoSpaceDN w:val="0"/>
        <w:adjustRightInd w:val="0"/>
        <w:jc w:val="both"/>
        <w:rPr>
          <w:sz w:val="23"/>
          <w:szCs w:val="23"/>
        </w:rPr>
      </w:pPr>
      <w:r>
        <w:rPr>
          <w:sz w:val="23"/>
          <w:szCs w:val="23"/>
        </w:rPr>
        <w:t>The B</w:t>
      </w:r>
      <w:r w:rsidR="00C250AB">
        <w:rPr>
          <w:sz w:val="23"/>
          <w:szCs w:val="23"/>
        </w:rPr>
        <w:t>oard has been in place for several months, most of the very senior appointments have been made and two public Board meetings have taken place.</w:t>
      </w:r>
    </w:p>
    <w:p w:rsidR="00C250AB" w:rsidRDefault="00C250AB" w:rsidP="00BB1048">
      <w:pPr>
        <w:autoSpaceDE w:val="0"/>
        <w:autoSpaceDN w:val="0"/>
        <w:adjustRightInd w:val="0"/>
        <w:jc w:val="both"/>
        <w:rPr>
          <w:sz w:val="23"/>
          <w:szCs w:val="23"/>
        </w:rPr>
      </w:pPr>
    </w:p>
    <w:p w:rsidR="00C250AB" w:rsidRDefault="00C250AB" w:rsidP="00BB1048">
      <w:pPr>
        <w:autoSpaceDE w:val="0"/>
        <w:autoSpaceDN w:val="0"/>
        <w:adjustRightInd w:val="0"/>
        <w:jc w:val="both"/>
        <w:rPr>
          <w:sz w:val="23"/>
          <w:szCs w:val="23"/>
        </w:rPr>
      </w:pPr>
      <w:r>
        <w:rPr>
          <w:sz w:val="23"/>
          <w:szCs w:val="23"/>
        </w:rPr>
        <w:t xml:space="preserve">The </w:t>
      </w:r>
      <w:r w:rsidR="00D82627">
        <w:rPr>
          <w:sz w:val="23"/>
          <w:szCs w:val="23"/>
        </w:rPr>
        <w:t xml:space="preserve">Board </w:t>
      </w:r>
      <w:r>
        <w:rPr>
          <w:sz w:val="23"/>
          <w:szCs w:val="23"/>
        </w:rPr>
        <w:t>will be organised into nine national Directorates, four slim sub-national regions and a national network of local offices.  This means that the local office for Lancashire will si</w:t>
      </w:r>
      <w:r w:rsidR="00A5098E">
        <w:rPr>
          <w:sz w:val="23"/>
          <w:szCs w:val="23"/>
        </w:rPr>
        <w:t xml:space="preserve">t within the North </w:t>
      </w:r>
      <w:r w:rsidR="000F5FC0">
        <w:rPr>
          <w:sz w:val="23"/>
          <w:szCs w:val="23"/>
        </w:rPr>
        <w:t xml:space="preserve">of England </w:t>
      </w:r>
      <w:r w:rsidR="00A5098E">
        <w:rPr>
          <w:sz w:val="23"/>
          <w:szCs w:val="23"/>
        </w:rPr>
        <w:t xml:space="preserve">region and is similar to the current configuration of the PCT Cluster (NHS Lancashire) and SHA North.  The bulk of the staff employed by the NHSCB will be based in the local office and their key functions will include </w:t>
      </w:r>
      <w:r w:rsidR="00893FFC">
        <w:rPr>
          <w:sz w:val="23"/>
          <w:szCs w:val="23"/>
        </w:rPr>
        <w:t>oversight</w:t>
      </w:r>
      <w:r w:rsidR="00BB1048">
        <w:rPr>
          <w:sz w:val="23"/>
          <w:szCs w:val="23"/>
        </w:rPr>
        <w:t xml:space="preserve"> of the CCGs, be members of </w:t>
      </w:r>
      <w:r w:rsidR="00893FFC">
        <w:rPr>
          <w:sz w:val="23"/>
          <w:szCs w:val="23"/>
        </w:rPr>
        <w:t xml:space="preserve">local Health and Well Being Boards and </w:t>
      </w:r>
      <w:r w:rsidR="00893FFC">
        <w:rPr>
          <w:sz w:val="23"/>
          <w:szCs w:val="23"/>
        </w:rPr>
        <w:lastRenderedPageBreak/>
        <w:t xml:space="preserve">the direct commissioning of primary care services, </w:t>
      </w:r>
      <w:r w:rsidR="00D82627">
        <w:rPr>
          <w:sz w:val="23"/>
          <w:szCs w:val="23"/>
        </w:rPr>
        <w:t xml:space="preserve">specialised NHS services, military health services, </w:t>
      </w:r>
      <w:r w:rsidR="00893FFC">
        <w:rPr>
          <w:sz w:val="23"/>
          <w:szCs w:val="23"/>
        </w:rPr>
        <w:t>offender health services and a range of public health services.</w:t>
      </w:r>
    </w:p>
    <w:p w:rsidR="00893FFC" w:rsidRDefault="00893FFC" w:rsidP="00BB1048">
      <w:pPr>
        <w:autoSpaceDE w:val="0"/>
        <w:autoSpaceDN w:val="0"/>
        <w:adjustRightInd w:val="0"/>
        <w:jc w:val="both"/>
        <w:rPr>
          <w:sz w:val="23"/>
          <w:szCs w:val="23"/>
        </w:rPr>
      </w:pPr>
    </w:p>
    <w:p w:rsidR="00893FFC" w:rsidRDefault="00893FFC" w:rsidP="00BB1048">
      <w:pPr>
        <w:autoSpaceDE w:val="0"/>
        <w:autoSpaceDN w:val="0"/>
        <w:adjustRightInd w:val="0"/>
        <w:jc w:val="both"/>
        <w:rPr>
          <w:sz w:val="23"/>
          <w:szCs w:val="23"/>
        </w:rPr>
      </w:pPr>
      <w:r>
        <w:rPr>
          <w:sz w:val="23"/>
          <w:szCs w:val="23"/>
        </w:rPr>
        <w:t>Interviews for the Regional Director level post are set for early May and it is expected that appointments will be made to the local office structure shortly after that.</w:t>
      </w:r>
    </w:p>
    <w:p w:rsidR="00893FFC" w:rsidRDefault="00893FFC" w:rsidP="00BB1048">
      <w:pPr>
        <w:autoSpaceDE w:val="0"/>
        <w:autoSpaceDN w:val="0"/>
        <w:adjustRightInd w:val="0"/>
        <w:jc w:val="both"/>
        <w:rPr>
          <w:sz w:val="23"/>
          <w:szCs w:val="23"/>
        </w:rPr>
      </w:pPr>
    </w:p>
    <w:p w:rsidR="00893FFC" w:rsidRPr="00893FFC" w:rsidRDefault="00893FFC" w:rsidP="00BB1048">
      <w:pPr>
        <w:autoSpaceDE w:val="0"/>
        <w:autoSpaceDN w:val="0"/>
        <w:adjustRightInd w:val="0"/>
        <w:jc w:val="both"/>
        <w:rPr>
          <w:b/>
          <w:sz w:val="23"/>
          <w:szCs w:val="23"/>
        </w:rPr>
      </w:pPr>
      <w:r w:rsidRPr="00893FFC">
        <w:rPr>
          <w:b/>
          <w:sz w:val="23"/>
          <w:szCs w:val="23"/>
        </w:rPr>
        <w:t>4.3</w:t>
      </w:r>
      <w:r w:rsidRPr="00893FFC">
        <w:rPr>
          <w:b/>
          <w:sz w:val="23"/>
          <w:szCs w:val="23"/>
        </w:rPr>
        <w:tab/>
        <w:t>Commissioning Support</w:t>
      </w:r>
    </w:p>
    <w:p w:rsidR="00C250AB" w:rsidRDefault="00C250AB" w:rsidP="00BB1048">
      <w:pPr>
        <w:autoSpaceDE w:val="0"/>
        <w:autoSpaceDN w:val="0"/>
        <w:adjustRightInd w:val="0"/>
        <w:jc w:val="both"/>
        <w:rPr>
          <w:sz w:val="23"/>
          <w:szCs w:val="23"/>
        </w:rPr>
      </w:pPr>
    </w:p>
    <w:p w:rsidR="00C250AB" w:rsidRDefault="0050129F" w:rsidP="00BB1048">
      <w:pPr>
        <w:autoSpaceDE w:val="0"/>
        <w:autoSpaceDN w:val="0"/>
        <w:adjustRightInd w:val="0"/>
        <w:jc w:val="both"/>
        <w:rPr>
          <w:sz w:val="23"/>
          <w:szCs w:val="23"/>
        </w:rPr>
      </w:pPr>
      <w:r>
        <w:rPr>
          <w:sz w:val="23"/>
          <w:szCs w:val="23"/>
        </w:rPr>
        <w:t>A key feature of both the eight CCGs and the NHSCB local office is that the staffing structures will be kept to a minimum and they will be expected to acquire additional services from Commissioning Support Organisations.  These CSOs whilst initially hosted by the NHSCB are expected to be outsourced by 2016.  The Lancashire and Cumbria joint venture is developing well and robustly and will offer services in areas such as contract management, service redesign, analytical support and other professional services.</w:t>
      </w:r>
    </w:p>
    <w:p w:rsidR="0050129F" w:rsidRDefault="0050129F" w:rsidP="00BB1048">
      <w:pPr>
        <w:autoSpaceDE w:val="0"/>
        <w:autoSpaceDN w:val="0"/>
        <w:adjustRightInd w:val="0"/>
        <w:jc w:val="both"/>
        <w:rPr>
          <w:sz w:val="23"/>
          <w:szCs w:val="23"/>
        </w:rPr>
      </w:pPr>
    </w:p>
    <w:p w:rsidR="0050129F" w:rsidRDefault="0050129F" w:rsidP="00BB1048">
      <w:pPr>
        <w:autoSpaceDE w:val="0"/>
        <w:autoSpaceDN w:val="0"/>
        <w:adjustRightInd w:val="0"/>
        <w:jc w:val="both"/>
        <w:rPr>
          <w:sz w:val="23"/>
          <w:szCs w:val="23"/>
        </w:rPr>
      </w:pPr>
      <w:r>
        <w:rPr>
          <w:sz w:val="23"/>
          <w:szCs w:val="23"/>
        </w:rPr>
        <w:t xml:space="preserve">The </w:t>
      </w:r>
      <w:r w:rsidR="006F4BF6">
        <w:rPr>
          <w:sz w:val="23"/>
          <w:szCs w:val="23"/>
        </w:rPr>
        <w:t>Lancashire and Cumbria unit has already successfully passed the first checkpoint and is well regarded on a national level.  It is required to go through a similar authorisation process to CCGs designed to test its marketing strategy, business plan, commercial acumen and ability to deliver high quality services locally on a sustainable basis.  The success of this operation is critical to the viability of CCGs as the CSO will provide much of the information and analysis to enable the CCGs to challenge local providers and meet their aspirations on outcomes and against national targets.</w:t>
      </w:r>
    </w:p>
    <w:p w:rsidR="006F4BF6" w:rsidRDefault="006F4BF6" w:rsidP="00BB1048">
      <w:pPr>
        <w:autoSpaceDE w:val="0"/>
        <w:autoSpaceDN w:val="0"/>
        <w:adjustRightInd w:val="0"/>
        <w:jc w:val="both"/>
        <w:rPr>
          <w:sz w:val="23"/>
          <w:szCs w:val="23"/>
        </w:rPr>
      </w:pPr>
    </w:p>
    <w:p w:rsidR="006F4BF6" w:rsidRDefault="006F4BF6" w:rsidP="00BB1048">
      <w:pPr>
        <w:autoSpaceDE w:val="0"/>
        <w:autoSpaceDN w:val="0"/>
        <w:adjustRightInd w:val="0"/>
        <w:jc w:val="both"/>
        <w:rPr>
          <w:sz w:val="23"/>
          <w:szCs w:val="23"/>
        </w:rPr>
      </w:pPr>
      <w:r>
        <w:rPr>
          <w:sz w:val="23"/>
          <w:szCs w:val="23"/>
        </w:rPr>
        <w:t xml:space="preserve">Other parts of the new system </w:t>
      </w:r>
      <w:r w:rsidR="004C2AFA">
        <w:rPr>
          <w:sz w:val="23"/>
          <w:szCs w:val="23"/>
        </w:rPr>
        <w:t>which will have implications for Lancashire include:</w:t>
      </w:r>
    </w:p>
    <w:p w:rsidR="004C2AFA" w:rsidRDefault="004C2AFA" w:rsidP="00BB1048">
      <w:pPr>
        <w:autoSpaceDE w:val="0"/>
        <w:autoSpaceDN w:val="0"/>
        <w:adjustRightInd w:val="0"/>
        <w:jc w:val="both"/>
        <w:rPr>
          <w:sz w:val="23"/>
          <w:szCs w:val="23"/>
        </w:rPr>
      </w:pPr>
    </w:p>
    <w:p w:rsidR="004C2AFA" w:rsidRDefault="004C2AFA" w:rsidP="00BB1048">
      <w:pPr>
        <w:numPr>
          <w:ilvl w:val="0"/>
          <w:numId w:val="17"/>
        </w:numPr>
        <w:autoSpaceDE w:val="0"/>
        <w:autoSpaceDN w:val="0"/>
        <w:adjustRightInd w:val="0"/>
        <w:jc w:val="both"/>
        <w:rPr>
          <w:sz w:val="23"/>
          <w:szCs w:val="23"/>
        </w:rPr>
      </w:pPr>
      <w:r w:rsidRPr="00C74C47">
        <w:rPr>
          <w:b/>
          <w:sz w:val="23"/>
          <w:szCs w:val="23"/>
        </w:rPr>
        <w:t>Health Education England</w:t>
      </w:r>
      <w:r>
        <w:rPr>
          <w:sz w:val="23"/>
          <w:szCs w:val="23"/>
        </w:rPr>
        <w:t xml:space="preserve"> – this body will make sure that the health workforce has the right skills, behaviou</w:t>
      </w:r>
      <w:r w:rsidR="00C74C47">
        <w:rPr>
          <w:sz w:val="23"/>
          <w:szCs w:val="23"/>
        </w:rPr>
        <w:t>rs and training and is available in the right numbers in the right locations to support the delivery of excellent healthcare and health improvement.</w:t>
      </w:r>
    </w:p>
    <w:p w:rsidR="00C74C47" w:rsidRDefault="00C74C47" w:rsidP="00BB1048">
      <w:pPr>
        <w:autoSpaceDE w:val="0"/>
        <w:autoSpaceDN w:val="0"/>
        <w:adjustRightInd w:val="0"/>
        <w:jc w:val="both"/>
        <w:rPr>
          <w:sz w:val="23"/>
          <w:szCs w:val="23"/>
        </w:rPr>
      </w:pPr>
    </w:p>
    <w:p w:rsidR="00C74C47" w:rsidRDefault="00C74C47" w:rsidP="00BB1048">
      <w:pPr>
        <w:numPr>
          <w:ilvl w:val="0"/>
          <w:numId w:val="17"/>
        </w:numPr>
        <w:autoSpaceDE w:val="0"/>
        <w:autoSpaceDN w:val="0"/>
        <w:adjustRightInd w:val="0"/>
        <w:jc w:val="both"/>
        <w:rPr>
          <w:sz w:val="23"/>
          <w:szCs w:val="23"/>
        </w:rPr>
      </w:pPr>
      <w:r w:rsidRPr="00C74C47">
        <w:rPr>
          <w:b/>
          <w:sz w:val="23"/>
          <w:szCs w:val="23"/>
        </w:rPr>
        <w:t>Health Research Authority</w:t>
      </w:r>
      <w:r>
        <w:rPr>
          <w:sz w:val="23"/>
          <w:szCs w:val="23"/>
        </w:rPr>
        <w:t xml:space="preserve"> – this has the responsibility of protecting and promoting the interests of patients in health research</w:t>
      </w:r>
    </w:p>
    <w:p w:rsidR="00C74C47" w:rsidRDefault="00C74C47" w:rsidP="00BB1048">
      <w:pPr>
        <w:autoSpaceDE w:val="0"/>
        <w:autoSpaceDN w:val="0"/>
        <w:adjustRightInd w:val="0"/>
        <w:jc w:val="both"/>
        <w:rPr>
          <w:sz w:val="23"/>
          <w:szCs w:val="23"/>
        </w:rPr>
      </w:pPr>
    </w:p>
    <w:p w:rsidR="00C74C47" w:rsidRDefault="00C74C47" w:rsidP="00BB1048">
      <w:pPr>
        <w:numPr>
          <w:ilvl w:val="0"/>
          <w:numId w:val="17"/>
        </w:numPr>
        <w:autoSpaceDE w:val="0"/>
        <w:autoSpaceDN w:val="0"/>
        <w:adjustRightInd w:val="0"/>
        <w:jc w:val="both"/>
        <w:rPr>
          <w:sz w:val="23"/>
          <w:szCs w:val="23"/>
        </w:rPr>
      </w:pPr>
      <w:r w:rsidRPr="00C74C47">
        <w:rPr>
          <w:b/>
          <w:sz w:val="23"/>
          <w:szCs w:val="23"/>
        </w:rPr>
        <w:t>NHS Property Services Limited</w:t>
      </w:r>
      <w:r>
        <w:rPr>
          <w:sz w:val="23"/>
          <w:szCs w:val="23"/>
        </w:rPr>
        <w:t xml:space="preserve"> – will hold property for use by community and primary care services including use by social enterprise concerns.  It will also cut the costs of administering the estate by consolidating the management functions and disposing of surplus property.</w:t>
      </w:r>
    </w:p>
    <w:p w:rsidR="00C74C47" w:rsidRDefault="00C74C47" w:rsidP="00BB1048">
      <w:pPr>
        <w:autoSpaceDE w:val="0"/>
        <w:autoSpaceDN w:val="0"/>
        <w:adjustRightInd w:val="0"/>
        <w:jc w:val="both"/>
        <w:rPr>
          <w:sz w:val="23"/>
          <w:szCs w:val="23"/>
        </w:rPr>
      </w:pPr>
    </w:p>
    <w:p w:rsidR="00C74C47" w:rsidRDefault="00C74C47" w:rsidP="00BB1048">
      <w:pPr>
        <w:numPr>
          <w:ilvl w:val="0"/>
          <w:numId w:val="17"/>
        </w:numPr>
        <w:autoSpaceDE w:val="0"/>
        <w:autoSpaceDN w:val="0"/>
        <w:adjustRightInd w:val="0"/>
        <w:jc w:val="both"/>
        <w:rPr>
          <w:sz w:val="23"/>
          <w:szCs w:val="23"/>
        </w:rPr>
      </w:pPr>
      <w:r w:rsidRPr="00C74C47">
        <w:rPr>
          <w:b/>
          <w:sz w:val="23"/>
          <w:szCs w:val="23"/>
        </w:rPr>
        <w:t>Shared Services for national bodies</w:t>
      </w:r>
      <w:r>
        <w:rPr>
          <w:sz w:val="23"/>
          <w:szCs w:val="23"/>
        </w:rPr>
        <w:t xml:space="preserve"> – shared services solutions are being developed for finance, payroll, communications, Human Resources, IT infrastructure and estates.</w:t>
      </w:r>
    </w:p>
    <w:p w:rsidR="00C250AB" w:rsidRDefault="00C250AB" w:rsidP="00234C15">
      <w:pPr>
        <w:autoSpaceDE w:val="0"/>
        <w:autoSpaceDN w:val="0"/>
        <w:adjustRightInd w:val="0"/>
        <w:jc w:val="both"/>
        <w:rPr>
          <w:sz w:val="23"/>
          <w:szCs w:val="23"/>
        </w:rPr>
      </w:pPr>
    </w:p>
    <w:p w:rsidR="00C74C47" w:rsidRPr="00C74C47" w:rsidRDefault="00C74C47" w:rsidP="00234C15">
      <w:pPr>
        <w:autoSpaceDE w:val="0"/>
        <w:autoSpaceDN w:val="0"/>
        <w:adjustRightInd w:val="0"/>
        <w:jc w:val="both"/>
        <w:rPr>
          <w:b/>
          <w:sz w:val="23"/>
          <w:szCs w:val="23"/>
        </w:rPr>
      </w:pPr>
      <w:r w:rsidRPr="00C74C47">
        <w:rPr>
          <w:b/>
          <w:sz w:val="23"/>
          <w:szCs w:val="23"/>
        </w:rPr>
        <w:t xml:space="preserve">5 </w:t>
      </w:r>
      <w:r w:rsidRPr="00C74C47">
        <w:rPr>
          <w:b/>
          <w:sz w:val="23"/>
          <w:szCs w:val="23"/>
        </w:rPr>
        <w:tab/>
        <w:t>People transition</w:t>
      </w:r>
    </w:p>
    <w:p w:rsidR="00C250AB" w:rsidRDefault="00C250AB" w:rsidP="00234C15">
      <w:pPr>
        <w:autoSpaceDE w:val="0"/>
        <w:autoSpaceDN w:val="0"/>
        <w:adjustRightInd w:val="0"/>
        <w:jc w:val="both"/>
        <w:rPr>
          <w:sz w:val="23"/>
          <w:szCs w:val="23"/>
        </w:rPr>
      </w:pPr>
    </w:p>
    <w:p w:rsidR="00C74C47" w:rsidRDefault="00C74C47" w:rsidP="00234C15">
      <w:pPr>
        <w:autoSpaceDE w:val="0"/>
        <w:autoSpaceDN w:val="0"/>
        <w:adjustRightInd w:val="0"/>
        <w:jc w:val="both"/>
        <w:rPr>
          <w:sz w:val="23"/>
          <w:szCs w:val="23"/>
        </w:rPr>
      </w:pPr>
      <w:r>
        <w:rPr>
          <w:sz w:val="23"/>
          <w:szCs w:val="23"/>
        </w:rPr>
        <w:t>Ensuring that staff transition processes operate smoothly and efficiently is a</w:t>
      </w:r>
      <w:r w:rsidR="008A147D">
        <w:rPr>
          <w:sz w:val="23"/>
          <w:szCs w:val="23"/>
        </w:rPr>
        <w:t>t</w:t>
      </w:r>
      <w:r>
        <w:rPr>
          <w:sz w:val="23"/>
          <w:szCs w:val="23"/>
        </w:rPr>
        <w:t xml:space="preserve"> the heart of all the transition</w:t>
      </w:r>
      <w:r w:rsidR="008A147D">
        <w:rPr>
          <w:sz w:val="23"/>
          <w:szCs w:val="23"/>
        </w:rPr>
        <w:t xml:space="preserve"> processes.  Whilst the constrained financial framework means that there will not be roles for everyone in the future it is essential that staff with the necessary skills, experience and organisational knowledge move into new roles to sustain the continued development of services.  It is vital that the organisation treats staff with dignity and respect and makes sure that processes are simple, transparent and fair over the next twelve months.  Much of the HR Framework has been developed nationally, these overall timetable and deadlines are nationally determined and the scope for local input has been limited.  This has led to some anxiety locally but now that the process is underway the anxieties are reducing.  The rationale for managing the processes and timeframes nationally is to try and ensure that every member of staff has as much </w:t>
      </w:r>
      <w:r w:rsidR="008A147D">
        <w:rPr>
          <w:sz w:val="23"/>
          <w:szCs w:val="23"/>
        </w:rPr>
        <w:lastRenderedPageBreak/>
        <w:t>information as possible about potential roles in successor organisations when considering how the changes might affect them.</w:t>
      </w:r>
    </w:p>
    <w:p w:rsidR="008A147D" w:rsidRDefault="008A147D" w:rsidP="00234C15">
      <w:pPr>
        <w:autoSpaceDE w:val="0"/>
        <w:autoSpaceDN w:val="0"/>
        <w:adjustRightInd w:val="0"/>
        <w:jc w:val="both"/>
        <w:rPr>
          <w:sz w:val="23"/>
          <w:szCs w:val="23"/>
        </w:rPr>
      </w:pPr>
    </w:p>
    <w:p w:rsidR="008A147D" w:rsidRDefault="008A147D" w:rsidP="00234C15">
      <w:pPr>
        <w:autoSpaceDE w:val="0"/>
        <w:autoSpaceDN w:val="0"/>
        <w:adjustRightInd w:val="0"/>
        <w:jc w:val="both"/>
        <w:rPr>
          <w:sz w:val="23"/>
          <w:szCs w:val="23"/>
        </w:rPr>
      </w:pPr>
      <w:r>
        <w:rPr>
          <w:sz w:val="23"/>
          <w:szCs w:val="23"/>
        </w:rPr>
        <w:t>In most instances transfers will be confirmed by transfer orders to protect employees’ current terms and conditions as if TUPE applies.  The aim is that by December 2012 all staff will know their future.  A whole series of development and support packages are being made available to individuals and teams to help them to prepare for changes</w:t>
      </w:r>
      <w:r w:rsidR="002D5A84">
        <w:rPr>
          <w:sz w:val="23"/>
          <w:szCs w:val="23"/>
        </w:rPr>
        <w:t>.  Whilst there is a recognition that there will not be new job r</w:t>
      </w:r>
      <w:r w:rsidR="00D82627">
        <w:rPr>
          <w:sz w:val="23"/>
          <w:szCs w:val="23"/>
        </w:rPr>
        <w:t>oles for everyone, every effort</w:t>
      </w:r>
      <w:r w:rsidR="002D5A84">
        <w:rPr>
          <w:sz w:val="23"/>
          <w:szCs w:val="23"/>
        </w:rPr>
        <w:t xml:space="preserve"> is being made to secure jobs for as many people as possible and therefore keep redundancy costs to a minimum.</w:t>
      </w:r>
    </w:p>
    <w:p w:rsidR="002D5A84" w:rsidRDefault="002D5A84" w:rsidP="00234C15">
      <w:pPr>
        <w:autoSpaceDE w:val="0"/>
        <w:autoSpaceDN w:val="0"/>
        <w:adjustRightInd w:val="0"/>
        <w:jc w:val="both"/>
        <w:rPr>
          <w:sz w:val="23"/>
          <w:szCs w:val="23"/>
        </w:rPr>
      </w:pPr>
    </w:p>
    <w:p w:rsidR="002D5A84" w:rsidRPr="002D5A84" w:rsidRDefault="002D5A84" w:rsidP="00234C15">
      <w:pPr>
        <w:autoSpaceDE w:val="0"/>
        <w:autoSpaceDN w:val="0"/>
        <w:adjustRightInd w:val="0"/>
        <w:jc w:val="both"/>
        <w:rPr>
          <w:b/>
          <w:sz w:val="23"/>
          <w:szCs w:val="23"/>
        </w:rPr>
      </w:pPr>
      <w:r w:rsidRPr="002D5A84">
        <w:rPr>
          <w:b/>
          <w:sz w:val="23"/>
          <w:szCs w:val="23"/>
        </w:rPr>
        <w:t>6</w:t>
      </w:r>
      <w:r w:rsidRPr="002D5A84">
        <w:rPr>
          <w:b/>
          <w:sz w:val="23"/>
          <w:szCs w:val="23"/>
        </w:rPr>
        <w:tab/>
        <w:t>Recommendations</w:t>
      </w:r>
    </w:p>
    <w:p w:rsidR="00C250AB" w:rsidRDefault="00C250AB" w:rsidP="00234C15">
      <w:pPr>
        <w:autoSpaceDE w:val="0"/>
        <w:autoSpaceDN w:val="0"/>
        <w:adjustRightInd w:val="0"/>
        <w:jc w:val="both"/>
        <w:rPr>
          <w:sz w:val="23"/>
          <w:szCs w:val="23"/>
        </w:rPr>
      </w:pPr>
    </w:p>
    <w:p w:rsidR="00C250AB" w:rsidRDefault="002D5A84" w:rsidP="00234C15">
      <w:pPr>
        <w:autoSpaceDE w:val="0"/>
        <w:autoSpaceDN w:val="0"/>
        <w:adjustRightInd w:val="0"/>
        <w:jc w:val="both"/>
        <w:rPr>
          <w:sz w:val="23"/>
          <w:szCs w:val="23"/>
        </w:rPr>
      </w:pPr>
      <w:r>
        <w:rPr>
          <w:sz w:val="23"/>
          <w:szCs w:val="23"/>
        </w:rPr>
        <w:t>The Health and Well Being board is asked to note the report.</w:t>
      </w:r>
    </w:p>
    <w:p w:rsidR="00BB1048" w:rsidRDefault="00BB1048" w:rsidP="00234C15">
      <w:pPr>
        <w:autoSpaceDE w:val="0"/>
        <w:autoSpaceDN w:val="0"/>
        <w:adjustRightInd w:val="0"/>
        <w:jc w:val="both"/>
        <w:rPr>
          <w:sz w:val="23"/>
          <w:szCs w:val="23"/>
        </w:rPr>
      </w:pPr>
    </w:p>
    <w:p w:rsidR="00BB1048" w:rsidRDefault="00BB1048" w:rsidP="00234C15">
      <w:pPr>
        <w:autoSpaceDE w:val="0"/>
        <w:autoSpaceDN w:val="0"/>
        <w:adjustRightInd w:val="0"/>
        <w:jc w:val="both"/>
        <w:rPr>
          <w:sz w:val="23"/>
          <w:szCs w:val="23"/>
        </w:rPr>
      </w:pPr>
    </w:p>
    <w:p w:rsidR="002D5A84" w:rsidRDefault="002D5A84" w:rsidP="00234C15">
      <w:pPr>
        <w:autoSpaceDE w:val="0"/>
        <w:autoSpaceDN w:val="0"/>
        <w:adjustRightInd w:val="0"/>
        <w:jc w:val="both"/>
        <w:rPr>
          <w:sz w:val="23"/>
          <w:szCs w:val="23"/>
        </w:rPr>
      </w:pPr>
    </w:p>
    <w:p w:rsidR="002D5A84" w:rsidRPr="00D82627" w:rsidRDefault="002D5A84" w:rsidP="00234C15">
      <w:pPr>
        <w:autoSpaceDE w:val="0"/>
        <w:autoSpaceDN w:val="0"/>
        <w:adjustRightInd w:val="0"/>
        <w:jc w:val="both"/>
        <w:rPr>
          <w:b/>
          <w:sz w:val="23"/>
          <w:szCs w:val="23"/>
        </w:rPr>
      </w:pPr>
      <w:r w:rsidRPr="00D82627">
        <w:rPr>
          <w:b/>
          <w:sz w:val="23"/>
          <w:szCs w:val="23"/>
        </w:rPr>
        <w:t>Janet Soo-Chung</w:t>
      </w:r>
    </w:p>
    <w:p w:rsidR="002D5A84" w:rsidRDefault="002D5A84" w:rsidP="00234C15">
      <w:pPr>
        <w:autoSpaceDE w:val="0"/>
        <w:autoSpaceDN w:val="0"/>
        <w:adjustRightInd w:val="0"/>
        <w:jc w:val="both"/>
        <w:rPr>
          <w:b/>
          <w:bCs/>
          <w:sz w:val="23"/>
          <w:szCs w:val="23"/>
        </w:rPr>
      </w:pPr>
      <w:r w:rsidRPr="00D82627">
        <w:rPr>
          <w:b/>
          <w:bCs/>
          <w:sz w:val="23"/>
          <w:szCs w:val="23"/>
        </w:rPr>
        <w:t>Chief Executive</w:t>
      </w:r>
      <w:r w:rsidR="001E7EC7">
        <w:rPr>
          <w:b/>
          <w:bCs/>
          <w:sz w:val="23"/>
          <w:szCs w:val="23"/>
        </w:rPr>
        <w:t xml:space="preserve"> </w:t>
      </w:r>
      <w:r w:rsidR="00BB1048">
        <w:rPr>
          <w:b/>
          <w:bCs/>
          <w:sz w:val="23"/>
          <w:szCs w:val="23"/>
        </w:rPr>
        <w:t xml:space="preserve">- </w:t>
      </w:r>
      <w:r w:rsidRPr="00D82627">
        <w:rPr>
          <w:b/>
          <w:bCs/>
          <w:sz w:val="23"/>
          <w:szCs w:val="23"/>
        </w:rPr>
        <w:t>NHS Lancashire</w:t>
      </w:r>
    </w:p>
    <w:p w:rsidR="00BB1048" w:rsidRPr="00D82627" w:rsidRDefault="00BB1048" w:rsidP="00234C15">
      <w:pPr>
        <w:autoSpaceDE w:val="0"/>
        <w:autoSpaceDN w:val="0"/>
        <w:adjustRightInd w:val="0"/>
        <w:jc w:val="both"/>
        <w:rPr>
          <w:b/>
          <w:bCs/>
          <w:sz w:val="23"/>
          <w:szCs w:val="23"/>
        </w:rPr>
      </w:pPr>
      <w:r>
        <w:rPr>
          <w:b/>
          <w:bCs/>
          <w:sz w:val="23"/>
          <w:szCs w:val="23"/>
        </w:rPr>
        <w:t>May 2012</w:t>
      </w:r>
    </w:p>
    <w:sectPr w:rsidR="00BB1048" w:rsidRPr="00D82627" w:rsidSect="00BC0092">
      <w:headerReference w:type="even" r:id="rId9"/>
      <w:headerReference w:type="default" r:id="rId10"/>
      <w:headerReference w:type="first" r:id="rId11"/>
      <w:pgSz w:w="11907" w:h="16840"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31C" w:rsidRDefault="0059631C" w:rsidP="00637C08">
      <w:r>
        <w:separator/>
      </w:r>
    </w:p>
  </w:endnote>
  <w:endnote w:type="continuationSeparator" w:id="0">
    <w:p w:rsidR="0059631C" w:rsidRDefault="0059631C" w:rsidP="00637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31C" w:rsidRDefault="0059631C" w:rsidP="00637C08">
      <w:r>
        <w:separator/>
      </w:r>
    </w:p>
  </w:footnote>
  <w:footnote w:type="continuationSeparator" w:id="0">
    <w:p w:rsidR="0059631C" w:rsidRDefault="0059631C" w:rsidP="00637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1C" w:rsidRDefault="005963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1C" w:rsidRDefault="005963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1C" w:rsidRDefault="005963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E4E"/>
    <w:multiLevelType w:val="hybridMultilevel"/>
    <w:tmpl w:val="9A40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57637"/>
    <w:multiLevelType w:val="hybridMultilevel"/>
    <w:tmpl w:val="E4D8B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27645A"/>
    <w:multiLevelType w:val="hybridMultilevel"/>
    <w:tmpl w:val="3D762F4A"/>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3">
    <w:nsid w:val="166D078C"/>
    <w:multiLevelType w:val="hybridMultilevel"/>
    <w:tmpl w:val="8A7C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04034"/>
    <w:multiLevelType w:val="hybridMultilevel"/>
    <w:tmpl w:val="A13048D0"/>
    <w:lvl w:ilvl="0" w:tplc="08090001">
      <w:start w:val="1"/>
      <w:numFmt w:val="bullet"/>
      <w:lvlText w:val=""/>
      <w:lvlJc w:val="left"/>
      <w:pPr>
        <w:tabs>
          <w:tab w:val="num" w:pos="1449"/>
        </w:tabs>
        <w:ind w:left="1449" w:hanging="360"/>
      </w:pPr>
      <w:rPr>
        <w:rFonts w:ascii="Symbol" w:hAnsi="Symbol" w:hint="default"/>
      </w:rPr>
    </w:lvl>
    <w:lvl w:ilvl="1" w:tplc="08090003" w:tentative="1">
      <w:start w:val="1"/>
      <w:numFmt w:val="bullet"/>
      <w:lvlText w:val="o"/>
      <w:lvlJc w:val="left"/>
      <w:pPr>
        <w:tabs>
          <w:tab w:val="num" w:pos="2169"/>
        </w:tabs>
        <w:ind w:left="2169" w:hanging="360"/>
      </w:pPr>
      <w:rPr>
        <w:rFonts w:ascii="Courier New" w:hAnsi="Courier New" w:hint="default"/>
      </w:rPr>
    </w:lvl>
    <w:lvl w:ilvl="2" w:tplc="08090005" w:tentative="1">
      <w:start w:val="1"/>
      <w:numFmt w:val="bullet"/>
      <w:lvlText w:val=""/>
      <w:lvlJc w:val="left"/>
      <w:pPr>
        <w:tabs>
          <w:tab w:val="num" w:pos="2889"/>
        </w:tabs>
        <w:ind w:left="2889" w:hanging="360"/>
      </w:pPr>
      <w:rPr>
        <w:rFonts w:ascii="Wingdings" w:hAnsi="Wingdings" w:hint="default"/>
      </w:rPr>
    </w:lvl>
    <w:lvl w:ilvl="3" w:tplc="08090001" w:tentative="1">
      <w:start w:val="1"/>
      <w:numFmt w:val="bullet"/>
      <w:lvlText w:val=""/>
      <w:lvlJc w:val="left"/>
      <w:pPr>
        <w:tabs>
          <w:tab w:val="num" w:pos="3609"/>
        </w:tabs>
        <w:ind w:left="3609" w:hanging="360"/>
      </w:pPr>
      <w:rPr>
        <w:rFonts w:ascii="Symbol" w:hAnsi="Symbol" w:hint="default"/>
      </w:rPr>
    </w:lvl>
    <w:lvl w:ilvl="4" w:tplc="08090003" w:tentative="1">
      <w:start w:val="1"/>
      <w:numFmt w:val="bullet"/>
      <w:lvlText w:val="o"/>
      <w:lvlJc w:val="left"/>
      <w:pPr>
        <w:tabs>
          <w:tab w:val="num" w:pos="4329"/>
        </w:tabs>
        <w:ind w:left="4329" w:hanging="360"/>
      </w:pPr>
      <w:rPr>
        <w:rFonts w:ascii="Courier New" w:hAnsi="Courier New" w:hint="default"/>
      </w:rPr>
    </w:lvl>
    <w:lvl w:ilvl="5" w:tplc="08090005" w:tentative="1">
      <w:start w:val="1"/>
      <w:numFmt w:val="bullet"/>
      <w:lvlText w:val=""/>
      <w:lvlJc w:val="left"/>
      <w:pPr>
        <w:tabs>
          <w:tab w:val="num" w:pos="5049"/>
        </w:tabs>
        <w:ind w:left="5049" w:hanging="360"/>
      </w:pPr>
      <w:rPr>
        <w:rFonts w:ascii="Wingdings" w:hAnsi="Wingdings" w:hint="default"/>
      </w:rPr>
    </w:lvl>
    <w:lvl w:ilvl="6" w:tplc="08090001" w:tentative="1">
      <w:start w:val="1"/>
      <w:numFmt w:val="bullet"/>
      <w:lvlText w:val=""/>
      <w:lvlJc w:val="left"/>
      <w:pPr>
        <w:tabs>
          <w:tab w:val="num" w:pos="5769"/>
        </w:tabs>
        <w:ind w:left="5769" w:hanging="360"/>
      </w:pPr>
      <w:rPr>
        <w:rFonts w:ascii="Symbol" w:hAnsi="Symbol" w:hint="default"/>
      </w:rPr>
    </w:lvl>
    <w:lvl w:ilvl="7" w:tplc="08090003" w:tentative="1">
      <w:start w:val="1"/>
      <w:numFmt w:val="bullet"/>
      <w:lvlText w:val="o"/>
      <w:lvlJc w:val="left"/>
      <w:pPr>
        <w:tabs>
          <w:tab w:val="num" w:pos="6489"/>
        </w:tabs>
        <w:ind w:left="6489" w:hanging="360"/>
      </w:pPr>
      <w:rPr>
        <w:rFonts w:ascii="Courier New" w:hAnsi="Courier New" w:hint="default"/>
      </w:rPr>
    </w:lvl>
    <w:lvl w:ilvl="8" w:tplc="08090005" w:tentative="1">
      <w:start w:val="1"/>
      <w:numFmt w:val="bullet"/>
      <w:lvlText w:val=""/>
      <w:lvlJc w:val="left"/>
      <w:pPr>
        <w:tabs>
          <w:tab w:val="num" w:pos="7209"/>
        </w:tabs>
        <w:ind w:left="7209" w:hanging="360"/>
      </w:pPr>
      <w:rPr>
        <w:rFonts w:ascii="Wingdings" w:hAnsi="Wingdings" w:hint="default"/>
      </w:rPr>
    </w:lvl>
  </w:abstractNum>
  <w:abstractNum w:abstractNumId="5">
    <w:nsid w:val="2994583D"/>
    <w:multiLevelType w:val="hybridMultilevel"/>
    <w:tmpl w:val="ADA64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2F103C"/>
    <w:multiLevelType w:val="hybridMultilevel"/>
    <w:tmpl w:val="DCBCCB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A71F20"/>
    <w:multiLevelType w:val="hybridMultilevel"/>
    <w:tmpl w:val="9E1C3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5E2596"/>
    <w:multiLevelType w:val="hybridMultilevel"/>
    <w:tmpl w:val="72BAD166"/>
    <w:lvl w:ilvl="0" w:tplc="E4EA682A">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6F634BF"/>
    <w:multiLevelType w:val="hybridMultilevel"/>
    <w:tmpl w:val="829C1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022FFC"/>
    <w:multiLevelType w:val="hybridMultilevel"/>
    <w:tmpl w:val="1C9E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04A6E"/>
    <w:multiLevelType w:val="hybridMultilevel"/>
    <w:tmpl w:val="34FC1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B552E9"/>
    <w:multiLevelType w:val="multilevel"/>
    <w:tmpl w:val="F84646B0"/>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nsid w:val="6B8D4328"/>
    <w:multiLevelType w:val="hybridMultilevel"/>
    <w:tmpl w:val="09F8B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901802"/>
    <w:multiLevelType w:val="multilevel"/>
    <w:tmpl w:val="4858BCF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nsid w:val="76920EA4"/>
    <w:multiLevelType w:val="hybridMultilevel"/>
    <w:tmpl w:val="C9A20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7986412"/>
    <w:multiLevelType w:val="hybridMultilevel"/>
    <w:tmpl w:val="A512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0B4C64"/>
    <w:multiLevelType w:val="hybridMultilevel"/>
    <w:tmpl w:val="9A7A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5"/>
  </w:num>
  <w:num w:numId="4">
    <w:abstractNumId w:val="4"/>
  </w:num>
  <w:num w:numId="5">
    <w:abstractNumId w:val="12"/>
  </w:num>
  <w:num w:numId="6">
    <w:abstractNumId w:val="7"/>
  </w:num>
  <w:num w:numId="7">
    <w:abstractNumId w:val="16"/>
  </w:num>
  <w:num w:numId="8">
    <w:abstractNumId w:val="0"/>
  </w:num>
  <w:num w:numId="9">
    <w:abstractNumId w:val="3"/>
  </w:num>
  <w:num w:numId="10">
    <w:abstractNumId w:val="2"/>
  </w:num>
  <w:num w:numId="11">
    <w:abstractNumId w:val="9"/>
  </w:num>
  <w:num w:numId="12">
    <w:abstractNumId w:val="13"/>
  </w:num>
  <w:num w:numId="13">
    <w:abstractNumId w:val="1"/>
  </w:num>
  <w:num w:numId="14">
    <w:abstractNumId w:val="10"/>
  </w:num>
  <w:num w:numId="15">
    <w:abstractNumId w:val="11"/>
  </w:num>
  <w:num w:numId="16">
    <w:abstractNumId w:val="6"/>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6812"/>
    <w:rsid w:val="00011EE5"/>
    <w:rsid w:val="00036426"/>
    <w:rsid w:val="00047065"/>
    <w:rsid w:val="00082D93"/>
    <w:rsid w:val="000F4CD8"/>
    <w:rsid w:val="000F5FC0"/>
    <w:rsid w:val="00107297"/>
    <w:rsid w:val="00111DE5"/>
    <w:rsid w:val="00140B87"/>
    <w:rsid w:val="001807C1"/>
    <w:rsid w:val="001863ED"/>
    <w:rsid w:val="001D43DC"/>
    <w:rsid w:val="001E7EC7"/>
    <w:rsid w:val="00213F09"/>
    <w:rsid w:val="00234C15"/>
    <w:rsid w:val="002A7A2E"/>
    <w:rsid w:val="002D5A84"/>
    <w:rsid w:val="003037EC"/>
    <w:rsid w:val="0032103F"/>
    <w:rsid w:val="00353698"/>
    <w:rsid w:val="00361803"/>
    <w:rsid w:val="00373691"/>
    <w:rsid w:val="003762A8"/>
    <w:rsid w:val="0037668B"/>
    <w:rsid w:val="00397DF6"/>
    <w:rsid w:val="003A2879"/>
    <w:rsid w:val="003F7A5C"/>
    <w:rsid w:val="004236BF"/>
    <w:rsid w:val="00431730"/>
    <w:rsid w:val="00441EC7"/>
    <w:rsid w:val="00445548"/>
    <w:rsid w:val="00477B08"/>
    <w:rsid w:val="004C2AFA"/>
    <w:rsid w:val="004E7F68"/>
    <w:rsid w:val="0050129F"/>
    <w:rsid w:val="00513C32"/>
    <w:rsid w:val="005342CD"/>
    <w:rsid w:val="005549B8"/>
    <w:rsid w:val="00581859"/>
    <w:rsid w:val="0058196B"/>
    <w:rsid w:val="0059631C"/>
    <w:rsid w:val="00600985"/>
    <w:rsid w:val="00637C08"/>
    <w:rsid w:val="00641F33"/>
    <w:rsid w:val="006524DF"/>
    <w:rsid w:val="00663E7B"/>
    <w:rsid w:val="0067405F"/>
    <w:rsid w:val="006820B8"/>
    <w:rsid w:val="00692411"/>
    <w:rsid w:val="006952B9"/>
    <w:rsid w:val="006A42AA"/>
    <w:rsid w:val="006B0900"/>
    <w:rsid w:val="006B7F97"/>
    <w:rsid w:val="006C235E"/>
    <w:rsid w:val="006D643D"/>
    <w:rsid w:val="006E5BF7"/>
    <w:rsid w:val="006F4BF6"/>
    <w:rsid w:val="00714D56"/>
    <w:rsid w:val="0074230D"/>
    <w:rsid w:val="00746B17"/>
    <w:rsid w:val="007D6759"/>
    <w:rsid w:val="00803DC6"/>
    <w:rsid w:val="00814D36"/>
    <w:rsid w:val="0082606B"/>
    <w:rsid w:val="00852302"/>
    <w:rsid w:val="00893FFC"/>
    <w:rsid w:val="008A147D"/>
    <w:rsid w:val="008D4B56"/>
    <w:rsid w:val="008D6081"/>
    <w:rsid w:val="008F208F"/>
    <w:rsid w:val="00901D30"/>
    <w:rsid w:val="0091725A"/>
    <w:rsid w:val="00921A38"/>
    <w:rsid w:val="00927D7A"/>
    <w:rsid w:val="0096051E"/>
    <w:rsid w:val="009879DC"/>
    <w:rsid w:val="009C20CB"/>
    <w:rsid w:val="009F00EC"/>
    <w:rsid w:val="00A36118"/>
    <w:rsid w:val="00A4718F"/>
    <w:rsid w:val="00A5098E"/>
    <w:rsid w:val="00A91B14"/>
    <w:rsid w:val="00A954A9"/>
    <w:rsid w:val="00AA4D36"/>
    <w:rsid w:val="00AF35DF"/>
    <w:rsid w:val="00B046F1"/>
    <w:rsid w:val="00B1021E"/>
    <w:rsid w:val="00B77105"/>
    <w:rsid w:val="00BB1048"/>
    <w:rsid w:val="00BC0092"/>
    <w:rsid w:val="00BD65BD"/>
    <w:rsid w:val="00C250AB"/>
    <w:rsid w:val="00C3285C"/>
    <w:rsid w:val="00C63142"/>
    <w:rsid w:val="00C74C47"/>
    <w:rsid w:val="00C878EF"/>
    <w:rsid w:val="00CB6700"/>
    <w:rsid w:val="00D003CC"/>
    <w:rsid w:val="00D13F01"/>
    <w:rsid w:val="00D62E34"/>
    <w:rsid w:val="00D65F2F"/>
    <w:rsid w:val="00D75B01"/>
    <w:rsid w:val="00D82627"/>
    <w:rsid w:val="00D8665E"/>
    <w:rsid w:val="00D9214D"/>
    <w:rsid w:val="00DA2D5C"/>
    <w:rsid w:val="00DB54DF"/>
    <w:rsid w:val="00DD7953"/>
    <w:rsid w:val="00DE78C9"/>
    <w:rsid w:val="00DF7A50"/>
    <w:rsid w:val="00E23CCC"/>
    <w:rsid w:val="00E30A1C"/>
    <w:rsid w:val="00E64FC9"/>
    <w:rsid w:val="00E66812"/>
    <w:rsid w:val="00E940E6"/>
    <w:rsid w:val="00EA28AE"/>
    <w:rsid w:val="00EB013B"/>
    <w:rsid w:val="00EE1E7B"/>
    <w:rsid w:val="00F11147"/>
    <w:rsid w:val="00F36B02"/>
    <w:rsid w:val="00F816D5"/>
    <w:rsid w:val="00FA13D7"/>
    <w:rsid w:val="00FD0C59"/>
    <w:rsid w:val="00FD5793"/>
    <w:rsid w:val="00FE67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E3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8D6081"/>
    <w:rPr>
      <w:i/>
      <w:iCs/>
    </w:rPr>
  </w:style>
  <w:style w:type="paragraph" w:styleId="Header">
    <w:name w:val="header"/>
    <w:basedOn w:val="Normal"/>
    <w:link w:val="HeaderChar"/>
    <w:rsid w:val="00637C08"/>
    <w:pPr>
      <w:tabs>
        <w:tab w:val="center" w:pos="4513"/>
        <w:tab w:val="right" w:pos="9026"/>
      </w:tabs>
    </w:pPr>
  </w:style>
  <w:style w:type="character" w:customStyle="1" w:styleId="HeaderChar">
    <w:name w:val="Header Char"/>
    <w:basedOn w:val="DefaultParagraphFont"/>
    <w:link w:val="Header"/>
    <w:rsid w:val="00637C08"/>
    <w:rPr>
      <w:rFonts w:ascii="Arial" w:hAnsi="Arial"/>
      <w:sz w:val="24"/>
      <w:szCs w:val="24"/>
    </w:rPr>
  </w:style>
  <w:style w:type="paragraph" w:styleId="Footer">
    <w:name w:val="footer"/>
    <w:basedOn w:val="Normal"/>
    <w:link w:val="FooterChar"/>
    <w:rsid w:val="00637C08"/>
    <w:pPr>
      <w:tabs>
        <w:tab w:val="center" w:pos="4513"/>
        <w:tab w:val="right" w:pos="9026"/>
      </w:tabs>
    </w:pPr>
  </w:style>
  <w:style w:type="character" w:customStyle="1" w:styleId="FooterChar">
    <w:name w:val="Footer Char"/>
    <w:basedOn w:val="DefaultParagraphFont"/>
    <w:link w:val="Footer"/>
    <w:rsid w:val="00637C08"/>
    <w:rPr>
      <w:rFonts w:ascii="Arial" w:hAnsi="Arial"/>
      <w:sz w:val="24"/>
      <w:szCs w:val="24"/>
    </w:rPr>
  </w:style>
  <w:style w:type="paragraph" w:styleId="ListParagraph">
    <w:name w:val="List Paragraph"/>
    <w:basedOn w:val="Normal"/>
    <w:uiPriority w:val="34"/>
    <w:qFormat/>
    <w:rsid w:val="00234C1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8784-AB29-468E-9EA6-A25FA75A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6</Pages>
  <Words>2250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Morecambe Bay PCT</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Sue.Cole</dc:creator>
  <cp:keywords/>
  <dc:description/>
  <cp:lastModifiedBy>amilroy001</cp:lastModifiedBy>
  <cp:revision>52</cp:revision>
  <cp:lastPrinted>2012-05-02T06:48:00Z</cp:lastPrinted>
  <dcterms:created xsi:type="dcterms:W3CDTF">2012-04-19T12:24:00Z</dcterms:created>
  <dcterms:modified xsi:type="dcterms:W3CDTF">2012-05-03T09:22:00Z</dcterms:modified>
</cp:coreProperties>
</file>